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88A1B8">
      <w:pPr>
        <w:spacing w:line="560" w:lineRule="exact"/>
        <w:jc w:val="center"/>
        <w:rPr>
          <w:rFonts w:ascii="Times New Roman" w:hAnsi="Times New Roman" w:eastAsia="方正小标宋简体" w:cs="Times New Roman"/>
          <w:kern w:val="0"/>
          <w:sz w:val="44"/>
          <w:szCs w:val="44"/>
        </w:rPr>
      </w:pPr>
      <w:bookmarkStart w:id="0" w:name="_GoBack"/>
      <w:r>
        <w:rPr>
          <w:rFonts w:ascii="Times New Roman" w:hAnsi="Times New Roman" w:eastAsia="方正小标宋简体" w:cs="Times New Roman"/>
          <w:kern w:val="0"/>
          <w:sz w:val="44"/>
          <w:szCs w:val="44"/>
        </w:rPr>
        <w:t>新疆油田分公司风城油田作业区“</w:t>
      </w:r>
      <w:r>
        <w:rPr>
          <w:rFonts w:hint="eastAsia" w:ascii="Times New Roman" w:hAnsi="Times New Roman" w:eastAsia="方正小标宋简体" w:cs="Times New Roman"/>
          <w:kern w:val="0"/>
          <w:sz w:val="44"/>
          <w:szCs w:val="44"/>
        </w:rPr>
        <w:t>2·17</w:t>
      </w:r>
      <w:r>
        <w:rPr>
          <w:rFonts w:ascii="Times New Roman" w:hAnsi="Times New Roman" w:eastAsia="方正小标宋简体" w:cs="Times New Roman"/>
          <w:kern w:val="0"/>
          <w:sz w:val="44"/>
          <w:szCs w:val="44"/>
        </w:rPr>
        <w:t>”</w:t>
      </w:r>
    </w:p>
    <w:p w14:paraId="3CFDF1C2">
      <w:pPr>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一般</w:t>
      </w:r>
      <w:r>
        <w:rPr>
          <w:rFonts w:hint="eastAsia" w:ascii="Times New Roman" w:hAnsi="Times New Roman" w:eastAsia="方正小标宋简体" w:cs="Times New Roman"/>
          <w:kern w:val="0"/>
          <w:sz w:val="44"/>
          <w:szCs w:val="44"/>
        </w:rPr>
        <w:t>其他</w:t>
      </w:r>
      <w:r>
        <w:rPr>
          <w:rFonts w:ascii="Times New Roman" w:hAnsi="Times New Roman" w:eastAsia="方正小标宋简体" w:cs="Times New Roman"/>
          <w:kern w:val="0"/>
          <w:sz w:val="44"/>
          <w:szCs w:val="44"/>
        </w:rPr>
        <w:t>爆炸事故</w:t>
      </w:r>
      <w:r>
        <w:rPr>
          <w:rFonts w:hint="eastAsia" w:ascii="Times New Roman" w:hAnsi="Times New Roman" w:eastAsia="方正小标宋简体" w:cs="Times New Roman"/>
          <w:kern w:val="0"/>
          <w:sz w:val="44"/>
          <w:szCs w:val="44"/>
        </w:rPr>
        <w:t>防范和整改措施</w:t>
      </w:r>
    </w:p>
    <w:p w14:paraId="41FEADDF">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落实情况评估报告</w:t>
      </w:r>
      <w:bookmarkEnd w:id="0"/>
    </w:p>
    <w:p w14:paraId="091BDF65">
      <w:pPr>
        <w:spacing w:line="560" w:lineRule="exact"/>
        <w:rPr>
          <w:rFonts w:ascii="Times New Roman" w:hAnsi="Times New Roman" w:eastAsia="仿宋_GB2312" w:cs="Times New Roman"/>
          <w:sz w:val="32"/>
          <w:szCs w:val="32"/>
        </w:rPr>
      </w:pPr>
    </w:p>
    <w:p w14:paraId="3C39324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w:t>
      </w:r>
      <w:r>
        <w:rPr>
          <w:rFonts w:ascii="Times New Roman" w:hAnsi="Times New Roman" w:eastAsia="仿宋_GB2312" w:cs="Times New Roman"/>
          <w:sz w:val="32"/>
          <w:szCs w:val="32"/>
        </w:rPr>
        <w:t>据《关于印发生产安全事故防范和整改措施落实情况评估办法的通知》（安委办〔2021〕4号）《关于常态化开展生产安全事故防范和整改措施落实情况评估工作的通知》（新安办〔2021〕32号）要求，</w:t>
      </w:r>
      <w:r>
        <w:rPr>
          <w:rFonts w:hint="eastAsia" w:ascii="Times New Roman" w:hAnsi="Times New Roman" w:eastAsia="仿宋_GB2312" w:cs="Times New Roman"/>
          <w:sz w:val="32"/>
          <w:szCs w:val="32"/>
        </w:rPr>
        <w:t>乌尔禾区安全生产委员会办公室成立新疆油田分公司风城油田作业区“2·</w:t>
      </w:r>
      <w:r>
        <w:rPr>
          <w:rFonts w:hint="eastAsia" w:ascii="Times New Roman" w:hAnsi="Times New Roman" w:eastAsia="宋体" w:cs="Times New Roman"/>
          <w:sz w:val="32"/>
          <w:szCs w:val="32"/>
        </w:rPr>
        <w:t>17</w:t>
      </w:r>
      <w:r>
        <w:rPr>
          <w:rFonts w:hint="eastAsia" w:ascii="Times New Roman" w:hAnsi="Times New Roman" w:eastAsia="仿宋_GB2312" w:cs="Times New Roman"/>
          <w:sz w:val="32"/>
          <w:szCs w:val="32"/>
        </w:rPr>
        <w:t>”一般其他爆炸事故防范和整改措施落实情况评估工作组（以下简称“评估工作组”），开展评估工作。通过现场检查、分析讨论，完成事故评估工作。现就新疆油田分公司风城油田作业区“2·</w:t>
      </w:r>
      <w:r>
        <w:rPr>
          <w:rFonts w:hint="eastAsia" w:ascii="Times New Roman" w:hAnsi="Times New Roman" w:eastAsia="宋体" w:cs="Times New Roman"/>
          <w:sz w:val="32"/>
          <w:szCs w:val="32"/>
        </w:rPr>
        <w:t>17</w:t>
      </w:r>
      <w:r>
        <w:rPr>
          <w:rFonts w:hint="eastAsia" w:ascii="Times New Roman" w:hAnsi="Times New Roman" w:eastAsia="仿宋_GB2312" w:cs="Times New Roman"/>
          <w:sz w:val="32"/>
          <w:szCs w:val="32"/>
        </w:rPr>
        <w:t>”一般其他爆炸事故责任追究和防范措施落实情况的评估工作报告如下：</w:t>
      </w:r>
    </w:p>
    <w:p w14:paraId="659BF87E">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一、事故概况</w:t>
      </w:r>
    </w:p>
    <w:p w14:paraId="4583090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2024年2月17日0时10分左右，位于乌尔禾区新疆油田分公司风城油田作业区二号供汽联合站重1 SAGD-1#号供热站值班室仪控柜爆燃，造成5人轻伤</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直接经济损失6</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48万元。</w:t>
      </w:r>
    </w:p>
    <w:p w14:paraId="7F2C51B1">
      <w:pPr>
        <w:spacing w:line="56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事故发生后，乌尔禾区人民政府根据《生产安全事故报告和调查处理条例》（国务院令第493号）相关规定，成立了由区应急管理局、区纪委监委、区公安分局、区司法局、区市场监督管理局、区总工会等部门相关人员组成的中国石油天然气股份有限公司新疆油田分公司风城油田作业区“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17”一般爆炸事故调</w:t>
      </w:r>
      <w:r>
        <w:rPr>
          <w:rFonts w:hint="eastAsia" w:ascii="仿宋_GB2312" w:hAnsi="Times New Roman" w:eastAsia="仿宋_GB2312" w:cs="Times New Roman"/>
          <w:kern w:val="0"/>
          <w:sz w:val="32"/>
          <w:szCs w:val="32"/>
        </w:rPr>
        <w:t>查组（以下简称“事故调查组”），对该起事故进行调查。</w:t>
      </w:r>
    </w:p>
    <w:p w14:paraId="74694D02">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经事故调查组认定，该事故是室外埋地天然气管线泄漏，天然气沿电缆沟进入值班室仪控柜遇电火花发生爆燃，造成5名员</w:t>
      </w:r>
    </w:p>
    <w:p w14:paraId="1BC34042">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工轻伤，是一起生产安全责任事故。</w:t>
      </w:r>
    </w:p>
    <w:p w14:paraId="2A6763C8">
      <w:pPr>
        <w:spacing w:line="56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2024年4月27日，区人民政府印发《关于乌尔禾柳树街新疆油田分公司风城油田作业区“2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17”一般其他爆炸事故调查报告的批复》（克乌政发〔2024〕20号），</w:t>
      </w:r>
      <w:r>
        <w:rPr>
          <w:rFonts w:hint="eastAsia" w:ascii="Times New Roman" w:hAnsi="Times New Roman" w:eastAsia="仿宋_GB2312" w:cs="Times New Roman"/>
          <w:kern w:val="0"/>
          <w:sz w:val="32"/>
          <w:szCs w:val="32"/>
        </w:rPr>
        <w:t>同意</w:t>
      </w:r>
      <w:r>
        <w:rPr>
          <w:rFonts w:ascii="Times New Roman" w:hAnsi="Times New Roman" w:eastAsia="仿宋_GB2312" w:cs="Times New Roman"/>
          <w:kern w:val="0"/>
          <w:sz w:val="32"/>
          <w:szCs w:val="32"/>
        </w:rPr>
        <w:t>事故调查报告提出</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对事故监管部门、责任单位整改防范措施建议。</w:t>
      </w:r>
    </w:p>
    <w:p w14:paraId="1A97D33F">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二、评估工作组织及开展情况</w:t>
      </w:r>
    </w:p>
    <w:p w14:paraId="457F52E3">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2025年3月20日，召开评估工作会议，强调了开展此次评估工作的重要性及相关事项，对相关工作进行了安排部署，将事故调查报告向参与评估工作人员进行了宣读。</w:t>
      </w:r>
    </w:p>
    <w:p w14:paraId="3764EC6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整理归档事故相关资料，编写评估报告（初稿），再次召开会议对报告进行讨论并形成一致意见。</w:t>
      </w:r>
    </w:p>
    <w:p w14:paraId="0460B41D">
      <w:pPr>
        <w:spacing w:line="56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三、责任追究落实情况</w:t>
      </w:r>
    </w:p>
    <w:p w14:paraId="67DAD077">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（一）对风城油田作业区相关人员处理情况</w:t>
      </w:r>
    </w:p>
    <w:p w14:paraId="773D04A4">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吕</w:t>
      </w:r>
      <w:r>
        <w:rPr>
          <w:rFonts w:hint="eastAsia" w:ascii="Times New Roman" w:hAnsi="Times New Roman" w:eastAsia="仿宋_GB2312" w:cs="Times New Roman"/>
          <w:kern w:val="0"/>
          <w:sz w:val="32"/>
          <w:szCs w:val="32"/>
          <w:lang w:val="en-US" w:eastAsia="zh-CN"/>
        </w:rPr>
        <w:t>xx</w:t>
      </w:r>
      <w:r>
        <w:rPr>
          <w:rFonts w:ascii="Times New Roman" w:hAnsi="Times New Roman" w:eastAsia="仿宋_GB2312" w:cs="Times New Roman"/>
          <w:kern w:val="0"/>
          <w:sz w:val="32"/>
          <w:szCs w:val="32"/>
        </w:rPr>
        <w:t>（原风城油田作业区党委书记、经理，现为百口泉采油厂厂长、党委副书记），作为作业区安全生产第一责任人，对该起事故的发生负重要领导责任，由新疆油田分公司给予诫勉</w:t>
      </w:r>
      <w:r>
        <w:rPr>
          <w:rFonts w:hint="eastAsia" w:ascii="Times New Roman" w:hAnsi="Times New Roman" w:eastAsia="仿宋_GB2312" w:cs="Times New Roman"/>
          <w:kern w:val="0"/>
          <w:sz w:val="32"/>
          <w:szCs w:val="32"/>
        </w:rPr>
        <w:t>谈话</w:t>
      </w:r>
      <w:r>
        <w:rPr>
          <w:rFonts w:ascii="Times New Roman" w:hAnsi="Times New Roman" w:eastAsia="仿宋_GB2312" w:cs="Times New Roman"/>
          <w:kern w:val="0"/>
          <w:sz w:val="32"/>
          <w:szCs w:val="32"/>
        </w:rPr>
        <w:t>处理，扣减业绩薪酬8000元。</w:t>
      </w:r>
    </w:p>
    <w:p w14:paraId="6985ED5A">
      <w:pPr>
        <w:pStyle w:val="10"/>
        <w:spacing w:line="560" w:lineRule="exact"/>
        <w:ind w:left="0" w:leftChars="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朱</w:t>
      </w:r>
      <w:r>
        <w:rPr>
          <w:rFonts w:hint="eastAsia" w:ascii="Times New Roman" w:hAnsi="Times New Roman" w:eastAsia="仿宋_GB2312" w:cs="Times New Roman"/>
          <w:kern w:val="0"/>
          <w:sz w:val="32"/>
          <w:szCs w:val="32"/>
          <w:lang w:val="en-US" w:eastAsia="zh-CN"/>
        </w:rPr>
        <w:t>xx</w:t>
      </w:r>
      <w:r>
        <w:rPr>
          <w:rFonts w:ascii="Times New Roman" w:hAnsi="Times New Roman" w:eastAsia="仿宋_GB2312" w:cs="Times New Roman"/>
          <w:kern w:val="0"/>
          <w:sz w:val="32"/>
          <w:szCs w:val="32"/>
        </w:rPr>
        <w:t>（原新疆油田分公司风城油田作业区党委委员、副经理，现为中油技服油田技术部副主任），作为管道完整性的业务分管领导，对管线风险分析不足，由风城油田作业区党委给予警示约谈，并在作业区生产办公会上作检查。</w:t>
      </w:r>
    </w:p>
    <w:p w14:paraId="10D0F53A">
      <w:pPr>
        <w:pStyle w:val="10"/>
        <w:spacing w:line="560" w:lineRule="exact"/>
        <w:ind w:left="0" w:leftChars="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王</w:t>
      </w:r>
      <w:r>
        <w:rPr>
          <w:rFonts w:hint="eastAsia" w:ascii="Times New Roman" w:hAnsi="Times New Roman" w:eastAsia="仿宋_GB2312" w:cs="Times New Roman"/>
          <w:kern w:val="0"/>
          <w:sz w:val="32"/>
          <w:szCs w:val="32"/>
          <w:lang w:val="en-US" w:eastAsia="zh-CN"/>
        </w:rPr>
        <w:t>xx</w:t>
      </w:r>
      <w:r>
        <w:rPr>
          <w:rFonts w:ascii="Times New Roman" w:hAnsi="Times New Roman" w:eastAsia="仿宋_GB2312" w:cs="Times New Roman"/>
          <w:kern w:val="0"/>
          <w:sz w:val="32"/>
          <w:szCs w:val="32"/>
        </w:rPr>
        <w:t>（风城油田作业区生产技术科科长），作为管道完整性的具体业务负责人，对管道风险防控措施落实不到位，由风城油田作业区党委给予警示约谈，并在作业区生产办公会上作检查。</w:t>
      </w:r>
    </w:p>
    <w:p w14:paraId="0DC83F36">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（二）事故有关责任单位责任追究落实情况</w:t>
      </w:r>
    </w:p>
    <w:p w14:paraId="416501A4">
      <w:pPr>
        <w:pStyle w:val="10"/>
        <w:spacing w:line="560" w:lineRule="exact"/>
        <w:ind w:left="0" w:leftChars="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乌尔禾区应急管理局对辖区非煤矿山企业安全监管不到位，指导企业落实安全生产主体责任不到位，督促企业安全生产风险防控和安全生产隐患排查治理等工作不扎实、不彻底，乌尔禾区应急管理局在2024年第四</w:t>
      </w:r>
      <w:r>
        <w:rPr>
          <w:rFonts w:hint="eastAsia" w:ascii="Times New Roman" w:hAnsi="Times New Roman" w:eastAsia="仿宋_GB2312" w:cs="Times New Roman"/>
          <w:kern w:val="0"/>
          <w:sz w:val="32"/>
          <w:szCs w:val="32"/>
        </w:rPr>
        <w:t>次</w:t>
      </w:r>
      <w:r>
        <w:rPr>
          <w:rFonts w:ascii="Times New Roman" w:hAnsi="Times New Roman" w:eastAsia="仿宋_GB2312" w:cs="Times New Roman"/>
          <w:kern w:val="0"/>
          <w:sz w:val="32"/>
          <w:szCs w:val="32"/>
        </w:rPr>
        <w:t>安委会全体会议上作书面检查。</w:t>
      </w:r>
    </w:p>
    <w:p w14:paraId="4EA7791A">
      <w:pPr>
        <w:pStyle w:val="10"/>
        <w:spacing w:line="560" w:lineRule="exact"/>
        <w:ind w:left="0" w:leftChars="0" w:firstLine="640"/>
        <w:rPr>
          <w:rFonts w:ascii="Times New Roman" w:hAnsi="Times New Roman" w:cs="Times New Roman"/>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乌尔禾区市场监督管理局未按照《中华人民共和国特种设备安全法》第五条规定对风城油田作业区特种设备的安全实施监督管理，使风城油田作业区二号供汽联合站天然气管道安全监管缺项，对风城油田作业区特种设备定期检验工作监督指导不够，乌尔禾区市场监督管理局</w:t>
      </w:r>
      <w:r>
        <w:rPr>
          <w:rFonts w:ascii="Times New Roman" w:hAnsi="Times New Roman" w:eastAsia="仿宋_GB2312" w:cs="Times New Roman"/>
          <w:kern w:val="0"/>
          <w:sz w:val="32"/>
          <w:szCs w:val="32"/>
        </w:rPr>
        <w:t>在2024年第四</w:t>
      </w:r>
      <w:r>
        <w:rPr>
          <w:rFonts w:hint="eastAsia" w:ascii="Times New Roman" w:hAnsi="Times New Roman" w:eastAsia="仿宋_GB2312" w:cs="Times New Roman"/>
          <w:kern w:val="0"/>
          <w:sz w:val="32"/>
          <w:szCs w:val="32"/>
        </w:rPr>
        <w:t>次</w:t>
      </w:r>
      <w:r>
        <w:rPr>
          <w:rFonts w:ascii="Times New Roman" w:hAnsi="Times New Roman" w:eastAsia="仿宋_GB2312" w:cs="Times New Roman"/>
          <w:kern w:val="0"/>
          <w:sz w:val="32"/>
          <w:szCs w:val="32"/>
        </w:rPr>
        <w:t>安委会全体会议上作书面检查。</w:t>
      </w:r>
    </w:p>
    <w:p w14:paraId="657D1C3B">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四、事故防范措施落实情况</w:t>
      </w:r>
    </w:p>
    <w:p w14:paraId="3D45D64F">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按照《事故调查报告》整改防范措施建议，评估组对事故整改防范措施落实情况进行评估。</w:t>
      </w:r>
    </w:p>
    <w:p w14:paraId="3B557A6B">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w:t>
      </w:r>
      <w:r>
        <w:rPr>
          <w:rFonts w:hint="eastAsia" w:ascii="Times New Roman" w:hAnsi="Times New Roman" w:eastAsia="楷体_GB2312" w:cs="Times New Roman"/>
          <w:bCs/>
          <w:sz w:val="32"/>
          <w:szCs w:val="32"/>
        </w:rPr>
        <w:t>新疆油田分公司风城油田作业区</w:t>
      </w:r>
    </w:p>
    <w:p w14:paraId="14E8B187">
      <w:pPr>
        <w:spacing w:line="56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1. 加强管道风险评价，提升本质安全水平</w:t>
      </w:r>
    </w:p>
    <w:p w14:paraId="7ECBC250">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企业要加大人力物力投入，加强油气管道日常巡护，组织技术及设备专业人员，全面排查存在的事故隐患，针对敷设地下天然气管道，要组织技术专家开展全过程危害识别，开展风险评价，细化管道分类管理，要认真分析、科学研究，并结合现场实际情况落实本质安全措施，有效实现技防结合人防，提升本质安全水平。</w:t>
      </w:r>
    </w:p>
    <w:p w14:paraId="75328192">
      <w:pPr>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落实情况</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风城油田作业区对锅炉Ⅲ类天然气管线提升至Ⅱ类管理，作业区天然气管线共计107.8公里，目前已全部检测完毕。排查可能产生油气窜漏及聚集爆炸风险的管沟、仪表电缆沟、配电室、值班室等构筑物1142处，并安排专业队伍对封堵失效部位按标准规范进行封堵。组织设计单位现场勘查，对53处风险区域安装固定式气体检测仪，配备便携式四合一检测仪、激光甲烷检测仪等仪器400台。投入资金831万元新建29座标准化班组值守站点，确保员工远离风险场所；投入资金1356万元，对62座</w:t>
      </w:r>
      <w:r>
        <w:rPr>
          <w:rFonts w:hint="eastAsia" w:ascii="Times New Roman" w:hAnsi="Times New Roman" w:eastAsia="仿宋_GB2312" w:cs="Times New Roman"/>
          <w:kern w:val="0"/>
          <w:sz w:val="32"/>
          <w:szCs w:val="32"/>
          <w:lang w:eastAsia="zh-CN"/>
        </w:rPr>
        <w:t>供气站</w:t>
      </w:r>
      <w:r>
        <w:rPr>
          <w:rFonts w:ascii="Times New Roman" w:hAnsi="Times New Roman" w:eastAsia="仿宋_GB2312" w:cs="Times New Roman"/>
          <w:kern w:val="0"/>
          <w:sz w:val="32"/>
          <w:szCs w:val="32"/>
        </w:rPr>
        <w:t>约8公里天然气管线</w:t>
      </w:r>
      <w:r>
        <w:rPr>
          <w:rFonts w:hint="eastAsia" w:ascii="Times New Roman" w:hAnsi="Times New Roman" w:eastAsia="仿宋_GB2312" w:cs="Times New Roman"/>
          <w:kern w:val="0"/>
          <w:sz w:val="32"/>
          <w:szCs w:val="32"/>
          <w:lang w:eastAsia="zh-CN"/>
        </w:rPr>
        <w:t>进行</w:t>
      </w:r>
      <w:r>
        <w:rPr>
          <w:rFonts w:ascii="Times New Roman" w:hAnsi="Times New Roman" w:eastAsia="仿宋_GB2312" w:cs="Times New Roman"/>
          <w:kern w:val="0"/>
          <w:sz w:val="32"/>
          <w:szCs w:val="32"/>
        </w:rPr>
        <w:t>地面改造，目前已全部完成。</w:t>
      </w:r>
    </w:p>
    <w:p w14:paraId="63F846C2">
      <w:pPr>
        <w:numPr>
          <w:ilvl w:val="0"/>
          <w:numId w:val="1"/>
        </w:numPr>
        <w:spacing w:line="56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强化全员责任落实，进一步提升风险管控能力</w:t>
      </w:r>
    </w:p>
    <w:p w14:paraId="0EDE9B2A">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全面推进风险分级管控和隐患排查治理双重预防机制建设。结合此次事故暴露出的问题，覆盖全部设备设施、工艺流程以及作业过程，全面辨识安全风险。根据辨识出的各类安全风险分级制定有效的管控措施，明确措施落实责任领导、责任部门和责任人员，进而转化为隐患排查清单，并在日常宣教培训和隐患排查等工作中落实到位，确保风险可控。</w:t>
      </w:r>
    </w:p>
    <w:p w14:paraId="754D315D">
      <w:pPr>
        <w:spacing w:line="560" w:lineRule="exact"/>
        <w:ind w:firstLine="643"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b/>
          <w:bCs/>
          <w:kern w:val="0"/>
          <w:sz w:val="32"/>
          <w:szCs w:val="32"/>
        </w:rPr>
        <w:t>落实情况：</w:t>
      </w:r>
      <w:r>
        <w:rPr>
          <w:rFonts w:ascii="Times New Roman" w:hAnsi="Times New Roman" w:eastAsia="仿宋_GB2312" w:cs="Times New Roman"/>
          <w:kern w:val="0"/>
          <w:sz w:val="32"/>
          <w:szCs w:val="32"/>
        </w:rPr>
        <w:t>风城油田作业区发布实施《风城油田作业区稠油提级管理工作方案实施细则》，对稠油生产实施升级管理。建立安全风险日研判机制，明确各级安全风险研判和管控责任；开展天然气管道风险辨识，建立天然气管道风险等级示意图；对2个稠油联合处理站开展HAZOP和SIL评估，提高管理水平；编制发布《风城油田作业区稠油安全距离确认》，明确稠油生产区域安全防护距离，强化热采系统安全风险管控和隐患治理，预防生产安全事故事件发生。开展风险辨识培训工作23次516人次，辨识安全风险1万余项，重大风险12项，并制定专项防控方案。</w:t>
      </w:r>
    </w:p>
    <w:p w14:paraId="6468BBD1">
      <w:pPr>
        <w:numPr>
          <w:ilvl w:val="0"/>
          <w:numId w:val="1"/>
        </w:numPr>
        <w:spacing w:line="56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强化安全教育培训，深刻汲取事故教训</w:t>
      </w:r>
    </w:p>
    <w:p w14:paraId="48BBF696">
      <w:pPr>
        <w:spacing w:line="560" w:lineRule="exac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一是</w:t>
      </w:r>
      <w:r>
        <w:rPr>
          <w:rFonts w:hint="eastAsia" w:ascii="仿宋_GB2312" w:hAnsi="Times New Roman" w:eastAsia="仿宋_GB2312" w:cs="Times New Roman"/>
          <w:kern w:val="0"/>
          <w:sz w:val="32"/>
          <w:szCs w:val="32"/>
        </w:rPr>
        <w:t>督促企业深入学习贯彻习近平总书记关于安全生产重要论述及指示批示精神，组织分析事故原因，开展事故案例警示教育，定期开展事故警示复盘工作，做好新员工、返岗员工的安全教育培训，全面提升员工防火防爆、应急处置、隐患排查的能力；</w:t>
      </w:r>
      <w:r>
        <w:rPr>
          <w:rFonts w:hint="eastAsia" w:ascii="仿宋_GB2312" w:hAnsi="Times New Roman" w:eastAsia="仿宋_GB2312" w:cs="Times New Roman"/>
          <w:b/>
          <w:bCs/>
          <w:kern w:val="0"/>
          <w:sz w:val="32"/>
          <w:szCs w:val="32"/>
        </w:rPr>
        <w:t>二是</w:t>
      </w:r>
      <w:r>
        <w:rPr>
          <w:rFonts w:hint="eastAsia" w:ascii="仿宋_GB2312" w:hAnsi="Times New Roman" w:eastAsia="仿宋_GB2312" w:cs="Times New Roman"/>
          <w:kern w:val="0"/>
          <w:sz w:val="32"/>
          <w:szCs w:val="32"/>
        </w:rPr>
        <w:t xml:space="preserve">严格安全生产考核程序，做好现场员工安全风险防范措施及处置能力考核，考核不合格的不得上岗作业。 </w:t>
      </w:r>
    </w:p>
    <w:p w14:paraId="3C349D7A">
      <w:pPr>
        <w:spacing w:line="560" w:lineRule="exact"/>
        <w:ind w:firstLine="643" w:firstLineChars="200"/>
        <w:rPr>
          <w:rFonts w:ascii="Times New Roman" w:hAnsi="Times New Roman" w:cs="Times New Roman"/>
          <w:sz w:val="32"/>
          <w:szCs w:val="32"/>
        </w:rPr>
      </w:pPr>
      <w:r>
        <w:rPr>
          <w:rFonts w:hint="eastAsia" w:ascii="仿宋_GB2312" w:hAnsi="Times New Roman" w:eastAsia="仿宋_GB2312" w:cs="Times New Roman"/>
          <w:b/>
          <w:bCs/>
          <w:kern w:val="0"/>
          <w:sz w:val="32"/>
          <w:szCs w:val="32"/>
        </w:rPr>
        <w:t>落实情况：</w:t>
      </w:r>
      <w:r>
        <w:rPr>
          <w:rFonts w:ascii="Times New Roman" w:hAnsi="Times New Roman" w:eastAsia="仿宋_GB2312" w:cs="Times New Roman"/>
          <w:kern w:val="0"/>
          <w:sz w:val="32"/>
          <w:szCs w:val="32"/>
        </w:rPr>
        <w:t>风城油田作业区组织人员通过周生产会、月度QHSE会议、警示教育专题会等形式，开展全员警示教育26次。对125名员工进行了履职能力评估和培训。制定了17类63项培训教材，并通过大讲堂活动对干部、班长、骨干进行安全能力提升培训。三级单位负责员工培训，业务部门监督培训效果，以提升员工整体素质。重点对300余名员工进行安全操作能力评价，通过实操能力抽考、技能鉴定等方式，提高员工操作水平。</w:t>
      </w:r>
    </w:p>
    <w:p w14:paraId="607655EF">
      <w:pPr>
        <w:numPr>
          <w:ilvl w:val="0"/>
          <w:numId w:val="1"/>
        </w:numPr>
        <w:spacing w:line="56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加强安全生产统筹协调能力，提升企业全盘管理水平</w:t>
      </w:r>
    </w:p>
    <w:p w14:paraId="45DD776C">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严格执行安全生产“五交底”工作，及时向作业现场涉及的相关单位进行报备，确保各项安全生产职责履职到位，没有漏项，从根源上防范此类事故发生。</w:t>
      </w:r>
    </w:p>
    <w:p w14:paraId="0F0AF698">
      <w:pPr>
        <w:spacing w:line="560" w:lineRule="exact"/>
        <w:ind w:firstLine="643"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b/>
          <w:bCs/>
          <w:kern w:val="0"/>
          <w:sz w:val="32"/>
          <w:szCs w:val="32"/>
        </w:rPr>
        <w:t>整改情况：</w:t>
      </w:r>
      <w:r>
        <w:rPr>
          <w:rFonts w:ascii="Times New Roman" w:hAnsi="Times New Roman" w:eastAsia="仿宋_GB2312" w:cs="Times New Roman"/>
          <w:kern w:val="0"/>
          <w:sz w:val="32"/>
          <w:szCs w:val="32"/>
        </w:rPr>
        <w:t>风城油田作业区2024年查处承包商各类隐患1181项，全部落实整改措施，提高作业现场规范性，确保各项作业安全措施落实到位。严格执行公司九项特殊作业管理制度，实行特殊作业预约报备机制，未经预约不得开展作业，实行作业许可视频+现场监督，各类作业许可视频监控全覆盖，编制作业许可较大风险关键节点管控措施图，对照落实作业许可管理要求，安排责任心强、业务水平高的员工进行现场监督，确保现场作业风险受控。</w:t>
      </w:r>
    </w:p>
    <w:p w14:paraId="00171820">
      <w:pPr>
        <w:spacing w:line="56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（二）应急管理局、市场监督管理局整改措施落实情况</w:t>
      </w:r>
    </w:p>
    <w:p w14:paraId="64CE9434">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应急管理局要依法加强对非煤矿山生产经营单位的执法检查，加大对企业主要负责人及安全管理机构依法履职情况的检查指导力度，规范检查内容，明确检查标准，提高执法检查的专业性、精准性和有效性，落实发现、纠正、整改、复查和跟踪等执法闭环管理措施。市场监督管理局要依据《特种设备安全监察条例》中压力管道的标准，梳理辖区压力管道情况，做好对压力管道安全监管工作，督促企业严格按照法律法规及行业标准要求定期开展压力管道检验，对未按要求检验的严格执法。</w:t>
      </w:r>
    </w:p>
    <w:p w14:paraId="799C589F">
      <w:pPr>
        <w:spacing w:line="560"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落实情况：</w:t>
      </w:r>
    </w:p>
    <w:p w14:paraId="6D0CD671">
      <w:pPr>
        <w:numPr>
          <w:ilvl w:val="0"/>
          <w:numId w:val="2"/>
        </w:num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区应急管理局深刻汲取事故教训，全力做好非煤矿山安全监管工作。</w:t>
      </w:r>
      <w:r>
        <w:rPr>
          <w:rFonts w:ascii="Times New Roman" w:hAnsi="Times New Roman" w:eastAsia="仿宋_GB2312" w:cs="Times New Roman"/>
          <w:b/>
          <w:bCs/>
          <w:sz w:val="32"/>
          <w:szCs w:val="32"/>
        </w:rPr>
        <w:t>一是</w:t>
      </w:r>
      <w:r>
        <w:rPr>
          <w:rFonts w:ascii="Times New Roman" w:hAnsi="Times New Roman" w:eastAsia="仿宋_GB2312" w:cs="Times New Roman"/>
          <w:kern w:val="0"/>
          <w:sz w:val="32"/>
          <w:szCs w:val="32"/>
        </w:rPr>
        <w:t>深入推进安全生产治本攻坚三年行动，制定《矿山领域安全生产治本攻坚三年行动方案》；</w:t>
      </w:r>
      <w:r>
        <w:rPr>
          <w:rFonts w:ascii="Times New Roman" w:hAnsi="Times New Roman" w:eastAsia="仿宋_GB2312" w:cs="Times New Roman"/>
          <w:b/>
          <w:bCs/>
          <w:kern w:val="0"/>
          <w:sz w:val="32"/>
          <w:szCs w:val="32"/>
        </w:rPr>
        <w:t>二是</w:t>
      </w:r>
      <w:r>
        <w:rPr>
          <w:rFonts w:ascii="Times New Roman" w:hAnsi="Times New Roman" w:eastAsia="仿宋_GB2312" w:cs="Times New Roman"/>
          <w:kern w:val="0"/>
          <w:sz w:val="32"/>
          <w:szCs w:val="32"/>
        </w:rPr>
        <w:t>区政府主要领导与3家露天矿山企业签订《乌尔禾区非煤矿山安全生产目标管理责任书》；</w:t>
      </w:r>
      <w:r>
        <w:rPr>
          <w:rFonts w:ascii="Times New Roman" w:hAnsi="Times New Roman" w:eastAsia="仿宋_GB2312" w:cs="Times New Roman"/>
          <w:b/>
          <w:bCs/>
          <w:kern w:val="0"/>
          <w:sz w:val="32"/>
          <w:szCs w:val="32"/>
        </w:rPr>
        <w:t>三是</w:t>
      </w:r>
      <w:r>
        <w:rPr>
          <w:rFonts w:ascii="Times New Roman" w:hAnsi="Times New Roman" w:eastAsia="仿宋_GB2312" w:cs="Times New Roman"/>
          <w:kern w:val="0"/>
          <w:sz w:val="32"/>
          <w:szCs w:val="32"/>
        </w:rPr>
        <w:t>常态化开展执法检查，2024年共检查企业171家次，发现隐患780项，下发文书144份，行政处罚12次，罚款38.1万。</w:t>
      </w:r>
      <w:r>
        <w:rPr>
          <w:rFonts w:ascii="Times New Roman" w:hAnsi="Times New Roman" w:eastAsia="仿宋_GB2312" w:cs="Times New Roman"/>
          <w:b/>
          <w:bCs/>
          <w:kern w:val="0"/>
          <w:sz w:val="32"/>
          <w:szCs w:val="32"/>
        </w:rPr>
        <w:t>四是</w:t>
      </w:r>
      <w:r>
        <w:rPr>
          <w:rFonts w:ascii="Times New Roman" w:hAnsi="Times New Roman" w:eastAsia="仿宋_GB2312" w:cs="Times New Roman"/>
          <w:kern w:val="0"/>
          <w:sz w:val="32"/>
          <w:szCs w:val="32"/>
        </w:rPr>
        <w:t>组织召开4次非煤矿山专业委员会风险研判会议，按季度分析安全风险，提升非煤矿山企业安全水平。</w:t>
      </w:r>
      <w:r>
        <w:rPr>
          <w:rFonts w:ascii="Times New Roman" w:hAnsi="Times New Roman" w:eastAsia="仿宋_GB2312" w:cs="Times New Roman"/>
          <w:b/>
          <w:bCs/>
          <w:kern w:val="0"/>
          <w:sz w:val="32"/>
          <w:szCs w:val="32"/>
        </w:rPr>
        <w:t>五是</w:t>
      </w:r>
      <w:r>
        <w:rPr>
          <w:rFonts w:ascii="Times New Roman" w:hAnsi="Times New Roman" w:eastAsia="仿宋_GB2312" w:cs="Times New Roman"/>
          <w:kern w:val="0"/>
          <w:sz w:val="32"/>
          <w:szCs w:val="32"/>
        </w:rPr>
        <w:t>组织非煤矿山企业共41人参加安全生产大培训工作，其中主要负责人6人，安全生产管理人员35人，进一步提升企业管理水平。</w:t>
      </w:r>
    </w:p>
    <w:p w14:paraId="36CFA7D1">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事故发生后，区市场监督管理局深刻反思，组织企业安全培训，学习习近平总书记关于安全生产的论述和指示，督促企业落实安全责任。加强特种设备监管，重点对油田企业进行隐患排查，检查193家单位和1530台特种设备。邀请专家对石化行业特种设备进行隐患排查，下达39份安全监察指令书，立案1件，罚款1万元，处置隐患131项，促进特种设备安全提升。利用特种设备安全智慧监管平台，提前预警即将到期设备，指导企业办理报检和使用登记，避免设备带病运行。对即将到期设备进行现场检查，及时整改，消除隐患。根据《乌尔禾区安全生产专业委员会工作职责》，加强与相关单位沟通，摸排油田集输管道，共有3661条管道，总长1557859.8米，提醒相关单位加强检验，确保安全生产。</w:t>
      </w:r>
    </w:p>
    <w:p w14:paraId="462C802F">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五、总体评估意见</w:t>
      </w:r>
    </w:p>
    <w:p w14:paraId="35311619">
      <w:pPr>
        <w:spacing w:line="56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通过认真调查核实，评估组认为，事故责任单位和责任人员已按照风城油田作业区“2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17”一般其他爆炸事故调查报告批复中责任追究和防范措施要求进行了整改落实，责任追究和防范措施要求已整改落实到位。</w:t>
      </w:r>
    </w:p>
    <w:p w14:paraId="5B77C20A">
      <w:pPr>
        <w:spacing w:line="56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六</w:t>
      </w:r>
      <w:r>
        <w:rPr>
          <w:rFonts w:ascii="Times New Roman" w:hAnsi="黑体" w:eastAsia="黑体" w:cs="Times New Roman"/>
          <w:sz w:val="32"/>
          <w:szCs w:val="32"/>
        </w:rPr>
        <w:t>、工作建议</w:t>
      </w:r>
    </w:p>
    <w:p w14:paraId="17C68EE7">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加强承包商的安全监管，建立严格的承包商安全管理制度，明确安全责任，加强安全培训和考核，确保承包商作业过程符合安全规范。</w:t>
      </w:r>
    </w:p>
    <w:p w14:paraId="7F3DB5D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加强对特种设备的监管力度，严格按照国家法律法规和行业标准要求进行检验和维护，确保设备安全可靠运行。同时，加强对安全管理人员和操作人员的培训，提高其安全意识和操作技能。</w:t>
      </w:r>
    </w:p>
    <w:p w14:paraId="04CA638B">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3.</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建立健全风险分级管控和隐患排查治理双重预防机制，全面辨识安全风险，制定有效的管控措施，并加强日常宣教培训和隐患排查工作，确保风险可控、隐患及时消除。</w:t>
      </w:r>
    </w:p>
    <w:p w14:paraId="5F5C5B50">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4.</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强化企业安全生产主体责任落实，督促企业加大安全生产投入，完善安全生产管理制度和操作规程，加强员工安全教育培训和应急演练，提高应对突发事件的能力。</w:t>
      </w:r>
    </w:p>
    <w:p w14:paraId="6438C24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5.</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加强部门间的沟通协调和联合执法力度，形成工作合力，共同推进安全生产工作。同时，加强对企业的监督检查和指导服务，帮助企业及时发现和解决安全生产方面的问题。</w:t>
      </w:r>
    </w:p>
    <w:p w14:paraId="5B1C4478">
      <w:pPr>
        <w:spacing w:line="560" w:lineRule="exact"/>
        <w:rPr>
          <w:rFonts w:ascii="仿宋_GB2312" w:hAnsi="Times New Roman" w:eastAsia="仿宋_GB2312" w:cs="Times New Roman"/>
          <w:kern w:val="0"/>
          <w:sz w:val="32"/>
          <w:szCs w:val="32"/>
        </w:rPr>
      </w:pPr>
    </w:p>
    <w:p w14:paraId="47DEA241">
      <w:pPr>
        <w:pStyle w:val="2"/>
        <w:rPr>
          <w:rFonts w:ascii="仿宋_GB2312" w:hAnsi="Times New Roman" w:eastAsia="仿宋_GB2312" w:cs="Times New Roman"/>
          <w:kern w:val="0"/>
          <w:sz w:val="32"/>
          <w:szCs w:val="32"/>
        </w:rPr>
      </w:pPr>
    </w:p>
    <w:p w14:paraId="13CC0D6B">
      <w:pPr>
        <w:pStyle w:val="2"/>
        <w:rPr>
          <w:rFonts w:ascii="仿宋_GB2312" w:hAnsi="Times New Roman" w:eastAsia="仿宋_GB2312" w:cs="Times New Roman"/>
          <w:kern w:val="0"/>
          <w:sz w:val="32"/>
          <w:szCs w:val="32"/>
        </w:rPr>
      </w:pPr>
    </w:p>
    <w:p w14:paraId="5CCA704B">
      <w:pPr>
        <w:spacing w:line="56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“2·17”事故评估组</w:t>
      </w:r>
    </w:p>
    <w:p w14:paraId="334BCF15">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（区应急管理局代章）</w:t>
      </w:r>
    </w:p>
    <w:p w14:paraId="42C25C03">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bCs/>
          <w:sz w:val="32"/>
          <w:szCs w:val="32"/>
        </w:rPr>
        <w:t>2025年4月12日</w:t>
      </w:r>
    </w:p>
    <w:p w14:paraId="754BD4A3">
      <w:pPr>
        <w:pStyle w:val="2"/>
        <w:rPr>
          <w:rFonts w:ascii="仿宋_GB2312" w:hAnsi="Times New Roman" w:eastAsia="仿宋_GB2312" w:cs="Times New Roman"/>
          <w:kern w:val="0"/>
          <w:sz w:val="32"/>
          <w:szCs w:val="32"/>
        </w:rPr>
      </w:pPr>
    </w:p>
    <w:p w14:paraId="2284D37B">
      <w:pPr>
        <w:pStyle w:val="2"/>
        <w:rPr>
          <w:rFonts w:ascii="仿宋_GB2312" w:hAnsi="Times New Roman" w:eastAsia="仿宋_GB2312" w:cs="Times New Roman"/>
          <w:kern w:val="0"/>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931D">
    <w:pPr>
      <w:pStyle w:val="7"/>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sdt>
                <w:sdtPr>
                  <w:rPr>
                    <w:rFonts w:hint="eastAsia" w:asciiTheme="minorEastAsia" w:hAnsiTheme="minorEastAsia" w:cstheme="minorEastAsia"/>
                  </w:rPr>
                  <w:id w:val="147461964"/>
                </w:sdtPr>
                <w:sdtEndPr>
                  <w:rPr>
                    <w:rFonts w:hint="eastAsia" w:asciiTheme="minorEastAsia" w:hAnsiTheme="minorEastAsia" w:cstheme="minorEastAsia"/>
                  </w:rPr>
                </w:sdtEndPr>
                <w:sdtContent>
                  <w:p w14:paraId="4F02E77B">
                    <w:pPr>
                      <w:pStyle w:val="7"/>
                      <w:jc w:val="center"/>
                      <w:rPr>
                        <w:rFonts w:asciiTheme="minorEastAsia" w:hAnsiTheme="minorEastAsia" w:cstheme="minorEastAsia"/>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2 -</w:t>
                    </w:r>
                    <w:r>
                      <w:rPr>
                        <w:rFonts w:hint="eastAsia" w:asciiTheme="minorEastAsia" w:hAnsiTheme="minorEastAsia" w:cstheme="minorEastAsia"/>
                        <w:sz w:val="28"/>
                        <w:szCs w:val="28"/>
                      </w:rPr>
                      <w:fldChar w:fldCharType="end"/>
                    </w:r>
                  </w:p>
                </w:sdtContent>
              </w:sdt>
              <w:p w14:paraId="2A89D59F">
                <w:pPr>
                  <w:pStyle w:val="2"/>
                  <w:rPr>
                    <w:rFonts w:asciiTheme="minorEastAsia" w:hAnsiTheme="minorEastAsia" w:eastAsiaTheme="minorEastAsia" w:cstheme="minorEastAsia"/>
                  </w:rPr>
                </w:pPr>
              </w:p>
            </w:txbxContent>
          </v:textbox>
        </v:shape>
      </w:pict>
    </w:r>
  </w:p>
  <w:p w14:paraId="39670BD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61B5B"/>
    <w:multiLevelType w:val="singleLevel"/>
    <w:tmpl w:val="C6761B5B"/>
    <w:lvl w:ilvl="0" w:tentative="0">
      <w:start w:val="1"/>
      <w:numFmt w:val="decimal"/>
      <w:suff w:val="space"/>
      <w:lvlText w:val="%1."/>
      <w:lvlJc w:val="left"/>
    </w:lvl>
  </w:abstractNum>
  <w:abstractNum w:abstractNumId="1">
    <w:nsid w:val="5C5F9F65"/>
    <w:multiLevelType w:val="singleLevel"/>
    <w:tmpl w:val="5C5F9F65"/>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mODk5MWEwODg4NjcyY2EzNGViMTVkODU2NmEzZWEifQ=="/>
  </w:docVars>
  <w:rsids>
    <w:rsidRoot w:val="00CE7509"/>
    <w:rsid w:val="000601DF"/>
    <w:rsid w:val="000A464B"/>
    <w:rsid w:val="001E5DB0"/>
    <w:rsid w:val="002A0552"/>
    <w:rsid w:val="002B0628"/>
    <w:rsid w:val="0030691E"/>
    <w:rsid w:val="00353725"/>
    <w:rsid w:val="00392EBA"/>
    <w:rsid w:val="004123C8"/>
    <w:rsid w:val="004A6226"/>
    <w:rsid w:val="00540F4E"/>
    <w:rsid w:val="00567145"/>
    <w:rsid w:val="005703B3"/>
    <w:rsid w:val="005E7F66"/>
    <w:rsid w:val="00634860"/>
    <w:rsid w:val="00692FA7"/>
    <w:rsid w:val="006D23AC"/>
    <w:rsid w:val="006F36C4"/>
    <w:rsid w:val="00700F99"/>
    <w:rsid w:val="00753573"/>
    <w:rsid w:val="00820DD3"/>
    <w:rsid w:val="00852B69"/>
    <w:rsid w:val="0091333D"/>
    <w:rsid w:val="009A69EA"/>
    <w:rsid w:val="00A04397"/>
    <w:rsid w:val="00A70251"/>
    <w:rsid w:val="00B04A7A"/>
    <w:rsid w:val="00B20557"/>
    <w:rsid w:val="00CB4535"/>
    <w:rsid w:val="00CE7509"/>
    <w:rsid w:val="00D41379"/>
    <w:rsid w:val="00DF6467"/>
    <w:rsid w:val="00E26281"/>
    <w:rsid w:val="00E53D2E"/>
    <w:rsid w:val="00E611C8"/>
    <w:rsid w:val="00E700FB"/>
    <w:rsid w:val="00EA36F2"/>
    <w:rsid w:val="00EB47DD"/>
    <w:rsid w:val="00EE2FED"/>
    <w:rsid w:val="00F15007"/>
    <w:rsid w:val="00F35577"/>
    <w:rsid w:val="03942A31"/>
    <w:rsid w:val="03E41CE8"/>
    <w:rsid w:val="05AC2568"/>
    <w:rsid w:val="065169B7"/>
    <w:rsid w:val="0701218C"/>
    <w:rsid w:val="07104750"/>
    <w:rsid w:val="09E57B43"/>
    <w:rsid w:val="0AAC68B2"/>
    <w:rsid w:val="0CE340E1"/>
    <w:rsid w:val="0D5921B9"/>
    <w:rsid w:val="0EAF6971"/>
    <w:rsid w:val="0F685FCE"/>
    <w:rsid w:val="104F3F68"/>
    <w:rsid w:val="10501A8E"/>
    <w:rsid w:val="10AD0C8E"/>
    <w:rsid w:val="12244F80"/>
    <w:rsid w:val="1234018E"/>
    <w:rsid w:val="12833A99"/>
    <w:rsid w:val="13C46A1B"/>
    <w:rsid w:val="14264FE0"/>
    <w:rsid w:val="18B74DA0"/>
    <w:rsid w:val="19921369"/>
    <w:rsid w:val="19DB686C"/>
    <w:rsid w:val="19E07918"/>
    <w:rsid w:val="19F3283B"/>
    <w:rsid w:val="1A4F2DB6"/>
    <w:rsid w:val="1BF14125"/>
    <w:rsid w:val="1CC25AC1"/>
    <w:rsid w:val="1D6D7143"/>
    <w:rsid w:val="1DDE0300"/>
    <w:rsid w:val="1E9F5123"/>
    <w:rsid w:val="1EF87EC0"/>
    <w:rsid w:val="206814C8"/>
    <w:rsid w:val="21154D5A"/>
    <w:rsid w:val="221D181A"/>
    <w:rsid w:val="223F662E"/>
    <w:rsid w:val="22F8048F"/>
    <w:rsid w:val="241A61E3"/>
    <w:rsid w:val="24CD76F9"/>
    <w:rsid w:val="25430E27"/>
    <w:rsid w:val="25473008"/>
    <w:rsid w:val="269C0C9D"/>
    <w:rsid w:val="27BB560C"/>
    <w:rsid w:val="296A5517"/>
    <w:rsid w:val="2A443FBA"/>
    <w:rsid w:val="2C6C77F8"/>
    <w:rsid w:val="2D376058"/>
    <w:rsid w:val="2E8347F8"/>
    <w:rsid w:val="2F946D19"/>
    <w:rsid w:val="2F9C03F4"/>
    <w:rsid w:val="32326DEE"/>
    <w:rsid w:val="327E1194"/>
    <w:rsid w:val="33226776"/>
    <w:rsid w:val="334A1D1B"/>
    <w:rsid w:val="33797346"/>
    <w:rsid w:val="33841B50"/>
    <w:rsid w:val="338D264C"/>
    <w:rsid w:val="33A67A93"/>
    <w:rsid w:val="35702107"/>
    <w:rsid w:val="393C75BA"/>
    <w:rsid w:val="3982438C"/>
    <w:rsid w:val="39E57D2C"/>
    <w:rsid w:val="3A1F45AF"/>
    <w:rsid w:val="3C361BBD"/>
    <w:rsid w:val="3DA231B8"/>
    <w:rsid w:val="3DEE6A01"/>
    <w:rsid w:val="3E3143FD"/>
    <w:rsid w:val="3E353EED"/>
    <w:rsid w:val="3E78202C"/>
    <w:rsid w:val="3FFD6C8D"/>
    <w:rsid w:val="40101D6F"/>
    <w:rsid w:val="403130F6"/>
    <w:rsid w:val="4256644E"/>
    <w:rsid w:val="43A3069B"/>
    <w:rsid w:val="44A616A1"/>
    <w:rsid w:val="44F60E4B"/>
    <w:rsid w:val="469100D6"/>
    <w:rsid w:val="481A7ABD"/>
    <w:rsid w:val="48B1728C"/>
    <w:rsid w:val="493060E0"/>
    <w:rsid w:val="49C5081B"/>
    <w:rsid w:val="4A6A13C3"/>
    <w:rsid w:val="4ADF76BB"/>
    <w:rsid w:val="4BBF74EC"/>
    <w:rsid w:val="4C35155C"/>
    <w:rsid w:val="4C677044"/>
    <w:rsid w:val="4E192EE4"/>
    <w:rsid w:val="4FCC3F86"/>
    <w:rsid w:val="50884351"/>
    <w:rsid w:val="50954AC1"/>
    <w:rsid w:val="51300D72"/>
    <w:rsid w:val="516A7EFA"/>
    <w:rsid w:val="520420FD"/>
    <w:rsid w:val="523C1897"/>
    <w:rsid w:val="52CB49C9"/>
    <w:rsid w:val="540C5299"/>
    <w:rsid w:val="54340151"/>
    <w:rsid w:val="55172147"/>
    <w:rsid w:val="55F52488"/>
    <w:rsid w:val="56D26326"/>
    <w:rsid w:val="57080599"/>
    <w:rsid w:val="57437223"/>
    <w:rsid w:val="57A31A70"/>
    <w:rsid w:val="57C71C02"/>
    <w:rsid w:val="58F55C6B"/>
    <w:rsid w:val="59BD150F"/>
    <w:rsid w:val="5C2238AB"/>
    <w:rsid w:val="5C3B496D"/>
    <w:rsid w:val="5C983B6D"/>
    <w:rsid w:val="5CC44681"/>
    <w:rsid w:val="5D35760E"/>
    <w:rsid w:val="5D5061F6"/>
    <w:rsid w:val="5E224037"/>
    <w:rsid w:val="5F572367"/>
    <w:rsid w:val="661C00E1"/>
    <w:rsid w:val="67DF4D46"/>
    <w:rsid w:val="68015CF2"/>
    <w:rsid w:val="69061253"/>
    <w:rsid w:val="69635503"/>
    <w:rsid w:val="6F942528"/>
    <w:rsid w:val="700E441B"/>
    <w:rsid w:val="70D50B01"/>
    <w:rsid w:val="760B6D06"/>
    <w:rsid w:val="779A2608"/>
    <w:rsid w:val="77D870BC"/>
    <w:rsid w:val="790A07A2"/>
    <w:rsid w:val="794A7241"/>
    <w:rsid w:val="7A083C89"/>
    <w:rsid w:val="7B4E615B"/>
    <w:rsid w:val="7CE81B50"/>
    <w:rsid w:val="7DD722F0"/>
    <w:rsid w:val="7F0569E9"/>
    <w:rsid w:val="7FBD5266"/>
    <w:rsid w:val="A8A9266E"/>
    <w:rsid w:val="BBF4C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outlineLvl w:val="1"/>
    </w:pPr>
    <w:rPr>
      <w:rFonts w:eastAsia="楷体_GB2312" w:asciiTheme="majorHAnsi" w:hAnsiTheme="majorHAnsi" w:cstheme="majorBidi"/>
      <w:bCs/>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jc w:val="both"/>
    </w:pPr>
    <w:rPr>
      <w:rFonts w:ascii="Calibri" w:hAnsi="Calibri" w:eastAsia="宋体" w:cs="宋体"/>
      <w:kern w:val="2"/>
      <w:sz w:val="21"/>
      <w:szCs w:val="24"/>
      <w:lang w:val="en-US" w:eastAsia="zh-CN" w:bidi="ar-SA"/>
    </w:rPr>
  </w:style>
  <w:style w:type="paragraph" w:styleId="4">
    <w:name w:val="Normal Indent"/>
    <w:basedOn w:val="1"/>
    <w:qFormat/>
    <w:uiPriority w:val="99"/>
    <w:pPr>
      <w:ind w:firstLine="420" w:firstLineChars="200"/>
    </w:pPr>
    <w:rPr>
      <w:rFonts w:ascii="Calibri" w:hAnsi="Calibri"/>
    </w:rPr>
  </w:style>
  <w:style w:type="paragraph" w:styleId="5">
    <w:name w:val="Body Text Indent"/>
    <w:basedOn w:val="1"/>
    <w:unhideWhenUsed/>
    <w:qFormat/>
    <w:uiPriority w:val="0"/>
    <w:pPr>
      <w:ind w:left="420" w:leftChars="2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hd w:val="clear" w:color="auto" w:fill="FFFFFF"/>
      <w:spacing w:before="100" w:beforeAutospacing="1" w:after="100" w:afterAutospacing="1"/>
      <w:ind w:firstLine="640"/>
      <w:jc w:val="left"/>
    </w:pPr>
    <w:rPr>
      <w:rFonts w:ascii="宋体" w:hAnsi="宋体" w:cs="宋体"/>
      <w:sz w:val="24"/>
    </w:rPr>
  </w:style>
  <w:style w:type="paragraph" w:styleId="10">
    <w:name w:val="Body Text First Indent 2"/>
    <w:basedOn w:val="5"/>
    <w:unhideWhenUsed/>
    <w:qFormat/>
    <w:uiPriority w:val="0"/>
    <w:pPr>
      <w:ind w:firstLine="420" w:firstLineChars="200"/>
    </w:p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4250</Words>
  <Characters>4405</Characters>
  <Lines>31</Lines>
  <Paragraphs>8</Paragraphs>
  <TotalTime>1</TotalTime>
  <ScaleCrop>false</ScaleCrop>
  <LinksUpToDate>false</LinksUpToDate>
  <CharactersWithSpaces>4447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2024-07-09T18:42:00Z</dcterms:created>
  <dc:creator>李天乐</dc:creator>
  <cp:lastModifiedBy>WPS_1615451219</cp:lastModifiedBy>
  <dcterms:modified xsi:type="dcterms:W3CDTF">2025-04-18T15:21:37Z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1FFB722FA0E447D09556E76769B58A09_13</vt:lpwstr>
  </property>
  <property fmtid="{D5CDD505-2E9C-101B-9397-08002B2CF9AE}" pid="4" name="KSOTemplateDocerSaveRecord">
    <vt:lpwstr>eyJoZGlkIjoiZWY1ZGMyMTRmY2NmMzU5YTc1MTYzOTczZThlODQyM2YiLCJ1c2VySWQiOiIxMTgwNTEzMzk5In0=</vt:lpwstr>
  </property>
</Properties>
</file>