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科技经费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乌尔禾区教育和科技局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乌尔禾区教育和科技局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窦丽娜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为贯彻落实《克拉玛依市关于加大科技投入的实施意见》文件精神，促进全社会研发投入增长，鼓励企业创新发展，区教育科技局实施科技项目，支持企业自主创新，同时发放科技创新券，对企业科技活动进行资助。</w:t>
        <w:br/>
        <w:t>2、项目主要内容：</w:t>
        <w:br/>
        <w:t>项目主要内容：通过开展科技培训，项目申报指导等科技服务，完成2-3项科技项目实施，辖区高新技术企业复审通过率100%，培育科技型中小企业5家，开展自治区工程技术研究中心创建1个，区域创新能力和企业科技工作意识持续提升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该项目年初预算数20万元，全年预算数29.04万元，实际总投入29.04万元，该项目资金已全部落实到位，资金来源为一般公共预算全额财政拨款。</w:t>
        <w:br/>
        <w:t>（2）资金使用情况</w:t>
        <w:br/>
        <w:t>该项目年初预算数20万元，全年预算数29.04万元,全年执行数29.04万元，预算执行率为100%，主要用于：通过开展科技培训，项目申报指导等科技服务，完成2-3项科技项目实施，辖区高新技术企业复审通过率100%，培育科技型中小企业5家，开展自治区工程技术研究中心创建1个，区域创新能力和企业科技工作意识持续提升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通过开展科技培训，项目申报指导等科技服务，完成2-3项科技项目实施，辖区高新技术企业复审通过率100%，培育科技型中小企业5家，开展自治区工程技术研究中心创建1个，区域创新能力和企业科技工作意识持续提升。</w:t>
        <w:br/>
        <w:t>2、阶段性目标</w:t>
        <w:br/>
        <w:t>通过开展科技培训，项目申报指导等科技服务，完成2-3项科技项目实施，辖区高新技术企业复审通过率100%。</w:t>
        <w:br/>
        <w:t>二、绩效评价工作开展情况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科技经费项目所包含的全部项目内容。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科技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项目决策类指标包括项目立项、绩效目标和资金投入三方面的内容，由8个三级指标构成，权重分值为20分，实际得分20分，得分率为100%。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项目过程类指标包括资金管理和组织实施两方面的内容，由8个三级指标构成，权重分值为20分，实际得分20分，得分率为100%。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本项目总投资20万元，财政资金及时足额到位，到位率100%，预算资金按计划进度执行。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预算编制较为详细，项目资金支出总体能够按照预算执行，预算资金支出20万元，预算执行率为100%。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项目产出类指标包括产出数量、产出质量、产出时效、产出成本四方面的内容，由6个三级指标构成，权重分为40分，实际得分40分，得分率为100%。具体产出指标完成情况如下：</w:t>
        <w:br/>
        <w:t>①数量指标：</w:t>
        <w:br/>
        <w:t>指标1：发放科研奖励资金企业数量（家），指标值：&gt;=2家，实际完成值：2家，指标完成率100%，</w:t>
        <w:br/>
        <w:t>指标2：发放创新券企业数量（家），指标值：&gt;=2家，实际完成值：2家，指标完成率100%，</w:t>
        <w:br/>
        <w:t>指标3：获得双创大赛荣誉企业数量（家，指标值：&gt;=1家，实际完成值：&gt;=1家，指标完成率100%，</w:t>
        <w:br/>
        <w:t>指标4：发放科技奖励资金企业数量，指标值：&gt;=2家，实际完成值：2家，指标完成率100%，</w:t>
        <w:br/>
        <w:t>②质量指标：</w:t>
        <w:br/>
        <w:t>指标1：科研奖励资金发放合规率，指标值：=100%，实际完成值：=100%，指标完成率100%。</w:t>
        <w:br/>
        <w:t>③时效指标：</w:t>
        <w:br/>
        <w:t>指标1：科技研发时间，指标值：&lt;=1年，实际完成值：&lt;=1年，指标完成率100%。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指标1：企业研发投入增长率，指标值：&gt;=8%，实际完成值：8%，指标完成率100%。</w:t>
        <w:br/>
        <w:t>②可持续影响指标：</w:t>
        <w:br/>
        <w:t>指标1：促进企业加大科研投入周期，指标值：长期，实际完成值：长期，指标完成率100%。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五、预算执行进度与绩效指标总体完成率偏差</w:t>
        <w:br/>
        <w:t>科技经费项目年初预算20万元，全年预算29.04万元，实际支出29.04万元，预算执行率为100%，项目绩效指标总体完成率为100%，总体偏差率为0%,偏差原因未产生偏差，改进措施无。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六、主要经验及做法、存在的问题及原因分析</w:t>
        <w:br/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七、有关建议</w:t>
        <w:br/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