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基本公共卫生服务经费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乌尔禾区疾控中心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乌尔禾区疾控中心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欧尔日历玛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疫苗管理法》《中华人民共和国传染病防治法》，依据妇幼保健“一法两纲”《中华人民共和国母婴保健法》、《新疆维吾尔自治区妇女发展纲要》（2011-2020）及《新疆维吾尔自治区儿童发展纲要》（2011-2020）开展全市妇幼保健工作规定，规范围产保健、儿童保健管理，做好高危孕产妇的管理。做好预防艾滋病、梅毒、乙肝母婴传播、新生儿疾病筛查、新生儿听力筛查、提高疫苗接种率等基本公共卫生项目工作，有效地预防疾病的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提高全区适龄儿童疫苗免疫接种率，提高其预防传染病的抗体水平，除低全区疫苗可预防疾病发生率和提高人群免疫水平；维护妇女儿童健康权益；居民艾滋病防治知识知晓率达85％以上，流动人口、青年学生、监管场所被监管人员等重点人群以及易感染艾滋病行为人群艾滋病防治知识知晓率均达90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该项目年初预算数14.57万元，全年预算数</w:t>
      </w:r>
      <w:r>
        <w:rPr>
          <w:rStyle w:val="18"/>
          <w:rFonts w:hint="eastAsia" w:ascii="楷体" w:hAnsi="楷体" w:eastAsia="楷体"/>
          <w:b w:val="0"/>
          <w:bCs w:val="0"/>
          <w:spacing w:val="-4"/>
          <w:sz w:val="32"/>
          <w:szCs w:val="32"/>
          <w:lang w:val="en-US" w:eastAsia="zh-CN"/>
        </w:rPr>
        <w:t>66.23</w:t>
      </w:r>
      <w:r>
        <w:rPr>
          <w:rStyle w:val="18"/>
          <w:rFonts w:hint="eastAsia" w:ascii="楷体" w:hAnsi="楷体" w:eastAsia="楷体"/>
          <w:b w:val="0"/>
          <w:bCs w:val="0"/>
          <w:spacing w:val="-4"/>
          <w:sz w:val="32"/>
          <w:szCs w:val="32"/>
        </w:rPr>
        <w:t>万元，实际总投入</w:t>
      </w:r>
      <w:r>
        <w:rPr>
          <w:rStyle w:val="18"/>
          <w:rFonts w:hint="eastAsia" w:ascii="楷体" w:hAnsi="楷体" w:eastAsia="楷体"/>
          <w:b w:val="0"/>
          <w:bCs w:val="0"/>
          <w:spacing w:val="-4"/>
          <w:sz w:val="32"/>
          <w:szCs w:val="32"/>
          <w:lang w:val="en-US" w:eastAsia="zh-CN"/>
        </w:rPr>
        <w:t>66.23</w:t>
      </w:r>
      <w:r>
        <w:rPr>
          <w:rStyle w:val="18"/>
          <w:rFonts w:hint="eastAsia" w:ascii="楷体" w:hAnsi="楷体" w:eastAsia="楷体"/>
          <w:b w:val="0"/>
          <w:bCs w:val="0"/>
          <w:spacing w:val="-4"/>
          <w:sz w:val="32"/>
          <w:szCs w:val="32"/>
        </w:rPr>
        <w:t>万元，该项目资金已全部落实到位，资金来源为年初预算。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该项目年初预算数14.57万元，全年预算数</w:t>
      </w:r>
      <w:r>
        <w:rPr>
          <w:rStyle w:val="18"/>
          <w:rFonts w:hint="eastAsia" w:ascii="楷体" w:hAnsi="楷体" w:eastAsia="楷体"/>
          <w:b w:val="0"/>
          <w:bCs w:val="0"/>
          <w:spacing w:val="-4"/>
          <w:sz w:val="32"/>
          <w:szCs w:val="32"/>
          <w:lang w:val="en-US" w:eastAsia="zh-CN"/>
        </w:rPr>
        <w:t>66.23</w:t>
      </w:r>
      <w:r>
        <w:rPr>
          <w:rStyle w:val="18"/>
          <w:rFonts w:hint="eastAsia" w:ascii="楷体" w:hAnsi="楷体" w:eastAsia="楷体"/>
          <w:b w:val="0"/>
          <w:bCs w:val="0"/>
          <w:spacing w:val="-4"/>
          <w:sz w:val="32"/>
          <w:szCs w:val="32"/>
        </w:rPr>
        <w:t>万元,全年执行数</w:t>
      </w:r>
      <w:r>
        <w:rPr>
          <w:rStyle w:val="18"/>
          <w:rFonts w:hint="eastAsia" w:ascii="楷体" w:hAnsi="楷体" w:eastAsia="楷体"/>
          <w:b w:val="0"/>
          <w:bCs w:val="0"/>
          <w:spacing w:val="-4"/>
          <w:sz w:val="32"/>
          <w:szCs w:val="32"/>
          <w:lang w:val="en-US" w:eastAsia="zh-CN"/>
        </w:rPr>
        <w:t>66.23</w:t>
      </w:r>
      <w:r>
        <w:rPr>
          <w:rStyle w:val="18"/>
          <w:rFonts w:hint="eastAsia" w:ascii="楷体" w:hAnsi="楷体" w:eastAsia="楷体"/>
          <w:b w:val="0"/>
          <w:bCs w:val="0"/>
          <w:spacing w:val="-4"/>
          <w:sz w:val="32"/>
          <w:szCs w:val="32"/>
        </w:rPr>
        <w:t>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主要用于：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①开展狂犬、水痘疫苗、流感病毒裂解及四价流感疫苗、重组乙型肝炎疫苗接种购置工作，10.17万元。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②开展地方病防治工作，4.4万元。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妇幼保健“一法两纲”《中华人民共和国母婴保健法》、《新疆维吾尔自治区妇女发展纲要》（2011-2020）及《新疆维吾尔自治区儿童发展纲要》（2011-2020）开展全市妇幼保健工作，维护妇女儿童健康权益。加强全区免疫规划管理和儿童预防接种信息化建设，提高全区适龄儿童疫苗免疫接种率，提高其预防传染病的抗体水平，除低全区疫苗可预防疾病发生率和提高人群免疫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（1）项目在实施前向项目负责人提供财政支出绩效方面的资金管理信息，促进项目支出严格按照资金管理规定进行。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（2）项目绩效管理财政支出运行提供及时、有效的信息。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基本公共卫生服务项目所包含的全部项目内容。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3、绩效评价的范围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对基本公共卫生服务项目进行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本次项目绩效评价遵循以下基本原则：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（1）确定评价指标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（2）确定权重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（3）确定指标标准值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具体评价指标体系详情见附件1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绩效评价从项目决策、项目过程、项目产出、项目效益四个维度进行评价。评价对象为项目目标实施情况，  评价核心为资金的支出完成情况和项目的产出效益。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（1）比较法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通过对绩效目标与实施效果、历史与当期情况，综合分析绩效目标实现程度。对项目最终验收情况与年度绩效目标对比、预算资金执行情况等相关因素进行比较。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（2）因素分析法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绩效评价标准通常包括计划标准、行业标准、历史标准等，用于对绩效指标完成情况进行比较、分析、评价。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计划标准：指以预先制定的目标、计划、预算、定额等作为评价标准。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行业标准：指参照国家公布的行业指标数据制定的评价标准。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基本公共卫生服务工作，无相应的行业标准和历史标准，故采用按照预算制定的目标和预算评价该项目。</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良/中/差）”。其中，项目决策类指标权重为20分，得分为20分，得分率为 100%。项目过程类指标权重为20分，得分为20分，得分率为100%。项目产出类指标权重为40分，得分为40分，得分率为100%。项目效益类指标权重为20分，得分为20分，得分率为100%。具体打分情况详见：附件1综合评分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表1综合评分表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w:t>
      </w:r>
      <w:r>
        <w:rPr>
          <w:rStyle w:val="18"/>
          <w:rFonts w:hint="eastAsia" w:ascii="楷体" w:hAnsi="楷体" w:eastAsia="楷体"/>
          <w:b w:val="0"/>
          <w:bCs w:val="0"/>
          <w:spacing w:val="-4"/>
          <w:sz w:val="32"/>
          <w:szCs w:val="32"/>
        </w:rPr>
        <w:tab/>
        <w:t>权重分</w:t>
      </w:r>
      <w:r>
        <w:rPr>
          <w:rStyle w:val="18"/>
          <w:rFonts w:hint="eastAsia" w:ascii="楷体" w:hAnsi="楷体" w:eastAsia="楷体"/>
          <w:b w:val="0"/>
          <w:bCs w:val="0"/>
          <w:spacing w:val="-4"/>
          <w:sz w:val="32"/>
          <w:szCs w:val="32"/>
        </w:rPr>
        <w:tab/>
        <w:t>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w:t>
      </w:r>
      <w:r>
        <w:rPr>
          <w:rStyle w:val="18"/>
          <w:rFonts w:hint="eastAsia" w:ascii="楷体" w:hAnsi="楷体" w:eastAsia="楷体"/>
          <w:b w:val="0"/>
          <w:bCs w:val="0"/>
          <w:spacing w:val="-4"/>
          <w:sz w:val="32"/>
          <w:szCs w:val="32"/>
        </w:rPr>
        <w:tab/>
        <w:t>40</w:t>
      </w:r>
      <w:r>
        <w:rPr>
          <w:rStyle w:val="18"/>
          <w:rFonts w:hint="eastAsia" w:ascii="楷体" w:hAnsi="楷体" w:eastAsia="楷体"/>
          <w:b w:val="0"/>
          <w:bCs w:val="0"/>
          <w:spacing w:val="-4"/>
          <w:sz w:val="32"/>
          <w:szCs w:val="32"/>
        </w:rPr>
        <w:tab/>
        <w:t>40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合计</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tab/>
        <w:t>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预算编制经过科学论证，提供充分的测算依据佐证资料，预算内容与项目内容相匹配。项目投资额与工作任务相匹配。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资金分配额度与项目单位实际工作内容相适应，资金分配额度合理，资金分配依据充分。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本项目总投资14.57万元，财政资金及时足额到位，到位率100%，预算资金按计划进度执行。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预算编制较为详细，项目资金支出总体能够按照预算执行，预算资金支出14.57万元，预算执行率为100%。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对资金使用的合法合规性进行监督，年末对资金使用效果进行评价。项目管理、实施人员落实到位，有效按照计划执行。项目执行情况等资料齐全，项目相关手续完备，及时进行归档。</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项目产出类指标包括产出数量、产出质量、产出时效、产出成本四方面的内容，由4个三级指标构成，权重分为40分，实际得分40分，得分率为100%。具体产出指标完成情况如下：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指标1：邀请B超大夫开展儿童甲状腺筛查次数，指标值：&gt;=1次，实际完成值：=1次，指标完成率100%，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指标2：购买水痘疫苗数量，指标值：&gt;=100支，实际完成值：=100支，指标完成率100%，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指标3：购买狂犬疫苗数量，指标值：&gt;=600支，实际完成值：=600支，指标完成率100%，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指标4：购买重组乙型肝炎疫苗数量，指标值：&gt;=300支，实际完成值：=300支，指标完成率100%，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指标5：购买流感疫苗数量，指标值：&gt;=300支，实际完成值：=300支，指标完成率100%，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指标6：购买4价流感疫苗数量，指标值：&gt;=200支，实际完成值：=200支，指标完成率100%，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指标1：儿童甲状腺筛查率，指标值：&gt;=80%，实际完成值：=80%，指标完成率100%。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指标2：购买疫苗质量合格率，指标值：&gt;=100%，实际完成值：=100%，指标完成率100%。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指标1：疫苗采购及时性，指标值：&gt;=80%，实际完成值：=80%，指标完成率100%。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指标1：儿童甲状腺筛查成本，指标值：&lt;=0.10万元，实际完成值：0.10万元，指标完成率100%，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指标2：购买水痘疫苗成本，指标值：&lt;=149.80元/支，实际完成值：=149.80元/支，指标完成率100%，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指标3：购买狂犬疫苗成本，指标值：&lt;=82元/支，实际完成值：=82元/支，指标完成率100%，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指标4：购买重组乙型肝炎疫苗成本，指标值：&lt;=128元/支，实际完成值：=128元/支，指标完成率100%，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指标5：购买流感疫苗成本，指标值：&lt;=55元/支，实际完成值：=55元/支，指标完成率100%，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指标6：购买4价流感疫苗成本，指标值：&lt;=128元/支，实际完成值：=128元/支，指标完成率100%，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社会效益指标：提高居民疾病防治知识知晓率，完成率提高了居民对各类传染病危害因素的防范意识；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Style w:val="18"/>
          <w:rFonts w:hint="eastAsia" w:ascii="楷体" w:hAnsi="楷体" w:eastAsia="楷体"/>
          <w:spacing w:val="-4"/>
          <w:sz w:val="32"/>
          <w:szCs w:val="32"/>
        </w:rPr>
        <w:t>满意度指标完成情况分析</w:t>
      </w:r>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满意度指标：辖区群众对基本公共卫生服务工作满意度大于80%，实际完成值达95%。</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基本公共卫生服务项目年初预算14.57万元，全年预算</w:t>
      </w:r>
      <w:r>
        <w:rPr>
          <w:rStyle w:val="18"/>
          <w:rFonts w:hint="eastAsia" w:ascii="楷体" w:hAnsi="楷体" w:eastAsia="楷体"/>
          <w:b w:val="0"/>
          <w:bCs w:val="0"/>
          <w:spacing w:val="-4"/>
          <w:sz w:val="32"/>
          <w:szCs w:val="32"/>
          <w:lang w:val="en-US" w:eastAsia="zh-CN"/>
        </w:rPr>
        <w:t>66.23</w:t>
      </w:r>
      <w:r>
        <w:rPr>
          <w:rStyle w:val="18"/>
          <w:rFonts w:hint="eastAsia" w:ascii="楷体" w:hAnsi="楷体" w:eastAsia="楷体"/>
          <w:b w:val="0"/>
          <w:bCs w:val="0"/>
          <w:spacing w:val="-4"/>
          <w:sz w:val="32"/>
          <w:szCs w:val="32"/>
        </w:rPr>
        <w:t>万元，实际支出</w:t>
      </w:r>
      <w:r>
        <w:rPr>
          <w:rStyle w:val="18"/>
          <w:rFonts w:hint="eastAsia" w:ascii="楷体" w:hAnsi="楷体" w:eastAsia="楷体"/>
          <w:b w:val="0"/>
          <w:bCs w:val="0"/>
          <w:spacing w:val="-4"/>
          <w:sz w:val="32"/>
          <w:szCs w:val="32"/>
          <w:lang w:val="en-US" w:eastAsia="zh-CN"/>
        </w:rPr>
        <w:t>66.23</w:t>
      </w:r>
      <w:r>
        <w:rPr>
          <w:rStyle w:val="18"/>
          <w:rFonts w:hint="eastAsia" w:ascii="楷体" w:hAnsi="楷体" w:eastAsia="楷体"/>
          <w:b w:val="0"/>
          <w:bCs w:val="0"/>
          <w:spacing w:val="-4"/>
          <w:sz w:val="32"/>
          <w:szCs w:val="32"/>
        </w:rPr>
        <w:t>万元，预算执行率为100%，项目绩效指标总体完成率为100%。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2.因轮岗、调动、等因素使我单位绩效工作人员流动频繁，造成了工作衔接不到位的情况。</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2.专门设定对绩效工作人员定职、定岗、定责等相关制度措施，进一步提升我单位绩效管理工作业务水平，扎实做好绩效管理工作。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本项目无其他需说明的问题。</w:t>
      </w:r>
    </w:p>
    <w:p>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iMzUxYmUwY2RlZWJhOTljN2MwZGNkZDNlOGU0ZWI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6E75C5B"/>
    <w:rsid w:val="4D2606A1"/>
    <w:rsid w:val="51830480"/>
    <w:rsid w:val="53A616BE"/>
    <w:rsid w:val="54662BFB"/>
    <w:rsid w:val="5D5750B8"/>
    <w:rsid w:val="62051CA5"/>
    <w:rsid w:val="6BB1290D"/>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282</Words>
  <Characters>605</Characters>
  <Lines>5</Lines>
  <Paragraphs>1</Paragraphs>
  <TotalTime>1</TotalTime>
  <ScaleCrop>false</ScaleCrop>
  <LinksUpToDate>false</LinksUpToDate>
  <CharactersWithSpaces>619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2023-10-26T02:20:35Z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C734C92AAAF24344A0E4232D8EB3359B</vt:lpwstr>
  </property>
</Properties>
</file>