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_GB2312" w:hAnsi="仿宋_GB2312" w:eastAsia="仿宋_GB2312" w:cs="仿宋_GB2312"/>
          <w:color w:val="auto"/>
          <w:kern w:val="0"/>
          <w:sz w:val="44"/>
          <w:szCs w:val="44"/>
          <w:highlight w:val="none"/>
          <w:lang w:bidi="ar"/>
        </w:rPr>
      </w:pPr>
    </w:p>
    <w:p>
      <w:pPr>
        <w:spacing w:line="560" w:lineRule="exact"/>
        <w:jc w:val="center"/>
        <w:rPr>
          <w:rFonts w:hint="eastAsia" w:ascii="仿宋_GB2312" w:hAnsi="仿宋_GB2312" w:eastAsia="仿宋_GB2312" w:cs="仿宋_GB2312"/>
          <w:b/>
          <w:bCs/>
          <w:color w:val="auto"/>
          <w:kern w:val="0"/>
          <w:sz w:val="44"/>
          <w:szCs w:val="44"/>
          <w:highlight w:val="none"/>
          <w:lang w:bidi="ar"/>
        </w:rPr>
      </w:pPr>
      <w:r>
        <w:rPr>
          <w:rFonts w:hint="eastAsia" w:ascii="仿宋_GB2312" w:hAnsi="仿宋_GB2312" w:eastAsia="仿宋_GB2312" w:cs="仿宋_GB2312"/>
          <w:b/>
          <w:bCs/>
          <w:color w:val="auto"/>
          <w:kern w:val="0"/>
          <w:sz w:val="44"/>
          <w:szCs w:val="44"/>
          <w:highlight w:val="none"/>
          <w:lang w:eastAsia="zh-CN" w:bidi="ar"/>
        </w:rPr>
        <w:t>乌尔禾区</w:t>
      </w:r>
      <w:r>
        <w:rPr>
          <w:rFonts w:hint="eastAsia" w:ascii="仿宋_GB2312" w:hAnsi="仿宋_GB2312" w:eastAsia="仿宋_GB2312" w:cs="仿宋_GB2312"/>
          <w:b/>
          <w:bCs/>
          <w:color w:val="auto"/>
          <w:kern w:val="0"/>
          <w:sz w:val="44"/>
          <w:szCs w:val="44"/>
          <w:highlight w:val="none"/>
          <w:lang w:bidi="ar"/>
        </w:rPr>
        <w:t>项目支出绩效评价报告</w:t>
      </w:r>
    </w:p>
    <w:p>
      <w:pPr>
        <w:jc w:val="center"/>
        <w:rPr>
          <w:rFonts w:hint="eastAsia" w:ascii="仿宋_GB2312" w:hAnsi="仿宋_GB2312" w:eastAsia="仿宋_GB2312" w:cs="仿宋_GB2312"/>
          <w:color w:val="auto"/>
          <w:kern w:val="0"/>
          <w:sz w:val="44"/>
          <w:szCs w:val="44"/>
          <w:highlight w:val="none"/>
          <w:lang w:bidi="ar"/>
        </w:rPr>
      </w:pPr>
    </w:p>
    <w:p>
      <w:pPr>
        <w:jc w:val="center"/>
        <w:rPr>
          <w:rFonts w:hint="eastAsia" w:ascii="宋体" w:hAnsi="宋体" w:cs="Arial"/>
          <w:b/>
          <w:bCs/>
          <w:color w:val="auto"/>
          <w:sz w:val="36"/>
          <w:szCs w:val="36"/>
          <w:highlight w:val="none"/>
        </w:rPr>
      </w:pPr>
      <w:r>
        <w:rPr>
          <w:rFonts w:hint="eastAsia" w:ascii="宋体" w:hAnsi="宋体" w:cs="Arial"/>
          <w:b/>
          <w:bCs/>
          <w:color w:val="auto"/>
          <w:sz w:val="36"/>
          <w:szCs w:val="36"/>
          <w:highlight w:val="none"/>
        </w:rPr>
        <w:t>（2019年度）</w:t>
      </w:r>
    </w:p>
    <w:p>
      <w:pPr>
        <w:spacing w:line="480" w:lineRule="auto"/>
        <w:jc w:val="center"/>
        <w:rPr>
          <w:rFonts w:hint="eastAsia" w:ascii="仿宋_GB2312" w:hAnsi="仿宋_GB2312" w:eastAsia="仿宋_GB2312" w:cs="仿宋_GB2312"/>
          <w:b/>
          <w:color w:val="auto"/>
          <w:kern w:val="0"/>
          <w:sz w:val="50"/>
          <w:szCs w:val="50"/>
          <w:highlight w:val="none"/>
          <w:lang w:bidi="en-US"/>
        </w:rPr>
      </w:pPr>
    </w:p>
    <w:p>
      <w:pPr>
        <w:spacing w:line="480" w:lineRule="auto"/>
        <w:jc w:val="center"/>
        <w:rPr>
          <w:rFonts w:hint="eastAsia" w:ascii="仿宋_GB2312" w:hAnsi="仿宋_GB2312" w:eastAsia="仿宋_GB2312" w:cs="仿宋_GB2312"/>
          <w:b/>
          <w:color w:val="auto"/>
          <w:kern w:val="0"/>
          <w:sz w:val="50"/>
          <w:szCs w:val="50"/>
          <w:highlight w:val="none"/>
          <w:lang w:bidi="en-US"/>
        </w:rPr>
      </w:pPr>
    </w:p>
    <w:p>
      <w:pPr>
        <w:spacing w:line="480" w:lineRule="auto"/>
        <w:jc w:val="center"/>
        <w:rPr>
          <w:rFonts w:hint="eastAsia" w:ascii="仿宋_GB2312" w:hAnsi="仿宋_GB2312" w:eastAsia="仿宋_GB2312" w:cs="仿宋_GB2312"/>
          <w:b/>
          <w:color w:val="auto"/>
          <w:kern w:val="0"/>
          <w:sz w:val="50"/>
          <w:szCs w:val="50"/>
          <w:highlight w:val="none"/>
          <w:lang w:bidi="en-US"/>
        </w:rPr>
      </w:pPr>
    </w:p>
    <w:p>
      <w:pPr>
        <w:spacing w:line="480" w:lineRule="auto"/>
        <w:jc w:val="center"/>
        <w:rPr>
          <w:rFonts w:hint="eastAsia" w:ascii="仿宋_GB2312" w:hAnsi="仿宋_GB2312" w:eastAsia="仿宋_GB2312" w:cs="仿宋_GB2312"/>
          <w:b/>
          <w:color w:val="auto"/>
          <w:kern w:val="0"/>
          <w:sz w:val="50"/>
          <w:szCs w:val="50"/>
          <w:highlight w:val="none"/>
          <w:lang w:bidi="en-US"/>
        </w:rPr>
      </w:pPr>
    </w:p>
    <w:p>
      <w:pPr>
        <w:spacing w:line="480" w:lineRule="auto"/>
        <w:jc w:val="center"/>
        <w:rPr>
          <w:rFonts w:hint="eastAsia" w:ascii="仿宋_GB2312" w:hAnsi="仿宋_GB2312" w:eastAsia="仿宋_GB2312" w:cs="仿宋_GB2312"/>
          <w:b/>
          <w:color w:val="auto"/>
          <w:kern w:val="0"/>
          <w:sz w:val="50"/>
          <w:szCs w:val="50"/>
          <w:highlight w:val="none"/>
          <w:lang w:bidi="en-US"/>
        </w:rPr>
      </w:pPr>
    </w:p>
    <w:p>
      <w:pPr>
        <w:spacing w:line="480" w:lineRule="auto"/>
        <w:jc w:val="left"/>
        <w:rPr>
          <w:rFonts w:hint="eastAsia" w:ascii="仿宋_GB2312" w:hAnsi="Times New Roman" w:eastAsia="仿宋_GB2312" w:cs="Times New Roman"/>
          <w:color w:val="auto"/>
          <w:kern w:val="0"/>
          <w:sz w:val="32"/>
          <w:szCs w:val="32"/>
          <w:highlight w:val="none"/>
          <w:lang w:eastAsia="zh-CN" w:bidi="en-US"/>
        </w:rPr>
      </w:pPr>
      <w:r>
        <w:rPr>
          <w:rFonts w:hint="eastAsia" w:ascii="仿宋_GB2312" w:hAnsi="仿宋_GB2312" w:eastAsia="仿宋_GB2312" w:cs="仿宋_GB2312"/>
          <w:color w:val="auto"/>
          <w:kern w:val="0"/>
          <w:sz w:val="36"/>
          <w:szCs w:val="36"/>
          <w:highlight w:val="none"/>
          <w:lang w:bidi="ar"/>
        </w:rPr>
        <w:t>项目名称：</w:t>
      </w:r>
      <w:r>
        <w:rPr>
          <w:rFonts w:hint="eastAsia" w:ascii="仿宋_GB2312" w:cs="Times New Roman"/>
          <w:color w:val="auto"/>
          <w:kern w:val="0"/>
          <w:sz w:val="32"/>
          <w:szCs w:val="32"/>
          <w:highlight w:val="none"/>
          <w:lang w:eastAsia="zh-CN" w:bidi="en-US"/>
        </w:rPr>
        <w:t>城乡居民养老保险财政补贴</w:t>
      </w:r>
    </w:p>
    <w:p>
      <w:pPr>
        <w:spacing w:line="560" w:lineRule="exact"/>
        <w:rPr>
          <w:rFonts w:hint="eastAsia" w:ascii="仿宋_GB2312" w:hAnsi="仿宋_GB2312" w:eastAsia="仿宋_GB2312" w:cs="仿宋_GB2312"/>
          <w:color w:val="auto"/>
          <w:kern w:val="0"/>
          <w:sz w:val="36"/>
          <w:szCs w:val="36"/>
          <w:highlight w:val="none"/>
          <w:lang w:bidi="ar"/>
        </w:rPr>
      </w:pPr>
    </w:p>
    <w:p>
      <w:pPr>
        <w:spacing w:line="560" w:lineRule="exact"/>
        <w:rPr>
          <w:rFonts w:hint="eastAsia" w:ascii="仿宋_GB2312" w:hAnsi="仿宋_GB2312" w:eastAsia="仿宋_GB2312" w:cs="仿宋_GB2312"/>
          <w:color w:val="auto"/>
          <w:kern w:val="0"/>
          <w:sz w:val="36"/>
          <w:szCs w:val="36"/>
          <w:highlight w:val="none"/>
          <w:lang w:bidi="ar"/>
        </w:rPr>
      </w:pPr>
      <w:r>
        <w:rPr>
          <w:rFonts w:hint="eastAsia" w:ascii="仿宋_GB2312" w:hAnsi="仿宋_GB2312" w:eastAsia="仿宋_GB2312" w:cs="仿宋_GB2312"/>
          <w:color w:val="auto"/>
          <w:kern w:val="0"/>
          <w:sz w:val="36"/>
          <w:szCs w:val="36"/>
          <w:highlight w:val="none"/>
          <w:lang w:bidi="ar"/>
        </w:rPr>
        <w:t>项目单位：</w:t>
      </w:r>
      <w:r>
        <w:rPr>
          <w:rFonts w:hint="eastAsia" w:ascii="仿宋_GB2312" w:hAnsi="Times New Roman" w:cs="Times New Roman"/>
          <w:color w:val="auto"/>
          <w:kern w:val="0"/>
          <w:sz w:val="32"/>
          <w:szCs w:val="32"/>
          <w:highlight w:val="none"/>
          <w:lang w:eastAsia="zh-CN" w:bidi="en-US"/>
        </w:rPr>
        <w:t>乌尔禾区</w:t>
      </w:r>
      <w:r>
        <w:rPr>
          <w:rFonts w:hint="eastAsia" w:ascii="仿宋_GB2312" w:cs="Times New Roman"/>
          <w:color w:val="auto"/>
          <w:kern w:val="0"/>
          <w:sz w:val="32"/>
          <w:szCs w:val="32"/>
          <w:highlight w:val="none"/>
          <w:lang w:eastAsia="zh-CN" w:bidi="en-US"/>
        </w:rPr>
        <w:t>人社</w:t>
      </w:r>
      <w:r>
        <w:rPr>
          <w:rFonts w:hint="eastAsia" w:ascii="仿宋_GB2312" w:hAnsi="Times New Roman" w:cs="Times New Roman"/>
          <w:color w:val="auto"/>
          <w:kern w:val="0"/>
          <w:sz w:val="32"/>
          <w:szCs w:val="32"/>
          <w:highlight w:val="none"/>
          <w:lang w:eastAsia="zh-CN" w:bidi="en-US"/>
        </w:rPr>
        <w:t>局</w:t>
      </w:r>
    </w:p>
    <w:p>
      <w:pPr>
        <w:spacing w:line="560" w:lineRule="exact"/>
        <w:rPr>
          <w:rFonts w:hint="eastAsia" w:ascii="仿宋_GB2312" w:hAnsi="仿宋_GB2312" w:eastAsia="仿宋_GB2312" w:cs="仿宋_GB2312"/>
          <w:color w:val="auto"/>
          <w:kern w:val="0"/>
          <w:sz w:val="36"/>
          <w:szCs w:val="36"/>
          <w:highlight w:val="none"/>
          <w:lang w:bidi="ar"/>
        </w:rPr>
      </w:pPr>
    </w:p>
    <w:p>
      <w:pPr>
        <w:spacing w:line="560" w:lineRule="exact"/>
        <w:rPr>
          <w:rFonts w:hint="eastAsia" w:ascii="仿宋_GB2312" w:hAnsi="仿宋_GB2312" w:eastAsia="仿宋_GB2312" w:cs="仿宋_GB2312"/>
          <w:color w:val="auto"/>
          <w:kern w:val="0"/>
          <w:sz w:val="36"/>
          <w:szCs w:val="36"/>
          <w:highlight w:val="none"/>
          <w:lang w:bidi="ar"/>
        </w:rPr>
      </w:pPr>
      <w:r>
        <w:rPr>
          <w:rFonts w:hint="eastAsia" w:ascii="仿宋_GB2312" w:hAnsi="仿宋_GB2312" w:eastAsia="仿宋_GB2312" w:cs="仿宋_GB2312"/>
          <w:color w:val="auto"/>
          <w:kern w:val="0"/>
          <w:sz w:val="36"/>
          <w:szCs w:val="36"/>
          <w:highlight w:val="none"/>
          <w:lang w:bidi="ar"/>
        </w:rPr>
        <w:t>主管部门：</w:t>
      </w:r>
      <w:r>
        <w:rPr>
          <w:rFonts w:hint="eastAsia" w:ascii="仿宋_GB2312" w:hAnsi="Times New Roman" w:cs="Times New Roman"/>
          <w:color w:val="auto"/>
          <w:kern w:val="0"/>
          <w:sz w:val="32"/>
          <w:szCs w:val="32"/>
          <w:highlight w:val="none"/>
          <w:lang w:eastAsia="zh-CN" w:bidi="en-US"/>
        </w:rPr>
        <w:t>乌尔禾区</w:t>
      </w:r>
      <w:r>
        <w:rPr>
          <w:rFonts w:hint="eastAsia" w:ascii="仿宋_GB2312" w:cs="Times New Roman"/>
          <w:color w:val="auto"/>
          <w:kern w:val="0"/>
          <w:sz w:val="32"/>
          <w:szCs w:val="32"/>
          <w:highlight w:val="none"/>
          <w:lang w:eastAsia="zh-CN" w:bidi="en-US"/>
        </w:rPr>
        <w:t>人社</w:t>
      </w:r>
      <w:r>
        <w:rPr>
          <w:rFonts w:hint="eastAsia" w:ascii="仿宋_GB2312" w:hAnsi="Times New Roman" w:cs="Times New Roman"/>
          <w:color w:val="auto"/>
          <w:kern w:val="0"/>
          <w:sz w:val="32"/>
          <w:szCs w:val="32"/>
          <w:highlight w:val="none"/>
          <w:lang w:eastAsia="zh-CN" w:bidi="en-US"/>
        </w:rPr>
        <w:t>局</w:t>
      </w:r>
    </w:p>
    <w:p>
      <w:pPr>
        <w:spacing w:line="560" w:lineRule="exact"/>
        <w:rPr>
          <w:rFonts w:hint="eastAsia" w:ascii="仿宋_GB2312" w:hAnsi="仿宋_GB2312" w:eastAsia="仿宋_GB2312" w:cs="仿宋_GB2312"/>
          <w:color w:val="auto"/>
          <w:kern w:val="0"/>
          <w:sz w:val="36"/>
          <w:szCs w:val="36"/>
          <w:highlight w:val="none"/>
          <w:lang w:bidi="ar"/>
        </w:rPr>
      </w:pPr>
    </w:p>
    <w:p>
      <w:pPr>
        <w:spacing w:line="560" w:lineRule="exact"/>
        <w:rPr>
          <w:rFonts w:hint="eastAsia" w:ascii="仿宋_GB2312" w:hAnsi="仿宋_GB2312" w:eastAsia="仿宋_GB2312" w:cs="仿宋_GB2312"/>
          <w:color w:val="auto"/>
          <w:kern w:val="0"/>
          <w:sz w:val="36"/>
          <w:szCs w:val="36"/>
          <w:highlight w:val="none"/>
          <w:lang w:bidi="ar"/>
        </w:rPr>
      </w:pPr>
    </w:p>
    <w:p>
      <w:pPr>
        <w:rPr>
          <w:rFonts w:hint="eastAsia" w:ascii="仿宋_GB2312" w:hAnsi="仿宋_GB2312" w:eastAsia="仿宋_GB2312" w:cs="仿宋_GB2312"/>
          <w:color w:val="auto"/>
          <w:kern w:val="0"/>
          <w:sz w:val="36"/>
          <w:szCs w:val="36"/>
          <w:highlight w:val="none"/>
          <w:lang w:bidi="ar"/>
        </w:rPr>
      </w:pPr>
    </w:p>
    <w:p>
      <w:pPr>
        <w:jc w:val="center"/>
        <w:rPr>
          <w:rFonts w:ascii="仿宋_GB2312" w:hAnsi="Times New Roman" w:eastAsia="仿宋_GB2312"/>
          <w:color w:val="auto"/>
          <w:sz w:val="30"/>
          <w:szCs w:val="30"/>
          <w:highlight w:val="none"/>
        </w:rPr>
      </w:pPr>
      <w:r>
        <w:rPr>
          <w:rFonts w:hint="eastAsia" w:ascii="仿宋_GB2312" w:hAnsi="Times New Roman" w:eastAsia="仿宋_GB2312"/>
          <w:color w:val="auto"/>
          <w:sz w:val="30"/>
          <w:szCs w:val="30"/>
          <w:highlight w:val="none"/>
        </w:rPr>
        <w:t>2020年4月23日</w:t>
      </w:r>
    </w:p>
    <w:p>
      <w:pPr>
        <w:rPr>
          <w:rFonts w:ascii="仿宋_GB2312" w:hAnsi="Times New Roman" w:eastAsia="仿宋_GB2312"/>
          <w:color w:val="auto"/>
          <w:sz w:val="30"/>
          <w:szCs w:val="30"/>
          <w:highlight w:val="none"/>
        </w:rPr>
      </w:pPr>
    </w:p>
    <w:p>
      <w:pPr>
        <w:rPr>
          <w:rFonts w:ascii="仿宋_GB2312" w:hAnsi="Times New Roman" w:eastAsia="仿宋_GB2312"/>
          <w:color w:val="auto"/>
          <w:sz w:val="30"/>
          <w:szCs w:val="30"/>
          <w:highlight w:val="none"/>
        </w:rPr>
      </w:pPr>
    </w:p>
    <w:p>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rPr>
      </w:pPr>
      <w:bookmarkStart w:id="11" w:name="_GoBack"/>
      <w:r>
        <w:rPr>
          <w:rFonts w:hint="eastAsia" w:ascii="仿宋_GB2312" w:hAnsi="Times New Roman" w:eastAsia="仿宋_GB2312"/>
          <w:color w:val="auto"/>
          <w:sz w:val="30"/>
          <w:szCs w:val="24"/>
          <w:highlight w:val="none"/>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主要是通过对城乡居民进行适当补助，实现人人都能享受养老服务。项目属于国家出台对城乡居民补助性质政策，主要用途是对辖区城乡居民参保城乡居民基本养老保险缴费按一定比例进行筹资补助，提供有力支持，从而进一步完善辖区城乡居民基本养老体系，涉及范围是本地居民。</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2、主要内容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本项目属于《关于印发克拉玛依市建立统一的城乡居民基本养老保险制度实施方案的通知》新克政发〔2015〕67号，明确要保障的工作资金。属于区级资金安排的项目经费。主要用于具有乌尔禾户籍未参加其他类型的社会保险的居民。</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3、实施情况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en-US" w:eastAsia="zh-CN"/>
        </w:rPr>
        <w:t>实施主体：乌尔禾区人社局，是人民政府</w:t>
      </w:r>
      <w:r>
        <w:rPr>
          <w:rFonts w:hint="eastAsia" w:ascii="仿宋_GB2312" w:hAnsi="Times New Roman" w:eastAsia="仿宋_GB2312"/>
          <w:color w:val="auto"/>
          <w:sz w:val="30"/>
          <w:szCs w:val="24"/>
          <w:highlight w:val="none"/>
        </w:rPr>
        <w:t>工作部门，为</w:t>
      </w:r>
      <w:r>
        <w:rPr>
          <w:rFonts w:hint="eastAsia" w:ascii="仿宋_GB2312" w:hAnsi="Times New Roman" w:eastAsia="仿宋_GB2312"/>
          <w:color w:val="auto"/>
          <w:sz w:val="30"/>
          <w:szCs w:val="24"/>
          <w:highlight w:val="none"/>
          <w:lang w:val="en-US" w:eastAsia="zh-CN"/>
        </w:rPr>
        <w:t>科</w:t>
      </w:r>
      <w:r>
        <w:rPr>
          <w:rFonts w:hint="eastAsia" w:ascii="仿宋_GB2312" w:hAnsi="Times New Roman" w:eastAsia="仿宋_GB2312"/>
          <w:color w:val="auto"/>
          <w:sz w:val="30"/>
          <w:szCs w:val="24"/>
          <w:highlight w:val="none"/>
        </w:rPr>
        <w:t>级单位。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eastAsia="仿宋_GB2312"/>
          <w:color w:val="auto"/>
          <w:sz w:val="30"/>
          <w:szCs w:val="24"/>
          <w:highlight w:val="none"/>
          <w:lang w:val="en-US" w:eastAsia="zh-CN"/>
        </w:rPr>
      </w:pPr>
      <w:r>
        <w:rPr>
          <w:rFonts w:hint="eastAsia" w:ascii="仿宋_GB2312" w:hAnsi="Times New Roman" w:eastAsia="仿宋_GB2312"/>
          <w:color w:val="auto"/>
          <w:sz w:val="30"/>
          <w:szCs w:val="24"/>
          <w:highlight w:val="none"/>
        </w:rPr>
        <w:t>实施时间：</w:t>
      </w:r>
      <w:r>
        <w:rPr>
          <w:rFonts w:hint="eastAsia" w:ascii="仿宋_GB2312" w:hAnsi="Times New Roman" w:eastAsia="仿宋_GB2312"/>
          <w:color w:val="auto"/>
          <w:sz w:val="30"/>
          <w:szCs w:val="24"/>
          <w:highlight w:val="none"/>
          <w:lang w:eastAsia="zh-CN"/>
        </w:rPr>
        <w:t>城乡居民养老保险财政补贴</w:t>
      </w:r>
      <w:r>
        <w:rPr>
          <w:rFonts w:hint="eastAsia" w:ascii="仿宋_GB2312" w:hAnsi="Times New Roman" w:eastAsia="仿宋_GB2312"/>
          <w:color w:val="auto"/>
          <w:sz w:val="30"/>
          <w:szCs w:val="24"/>
          <w:highlight w:val="none"/>
        </w:rPr>
        <w:t>工作开展时间为201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en-US" w:eastAsia="zh-CN"/>
        </w:rPr>
        <w:t>1</w:t>
      </w:r>
      <w:r>
        <w:rPr>
          <w:rFonts w:hint="eastAsia" w:ascii="仿宋_GB2312" w:hAnsi="Times New Roman" w:eastAsia="仿宋_GB2312"/>
          <w:color w:val="auto"/>
          <w:sz w:val="30"/>
          <w:szCs w:val="24"/>
          <w:highlight w:val="none"/>
        </w:rPr>
        <w:t>月—201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年1</w:t>
      </w:r>
      <w:r>
        <w:rPr>
          <w:rFonts w:hint="eastAsia" w:ascii="仿宋_GB2312" w:hAnsi="Times New Roman" w:eastAsia="仿宋_GB2312"/>
          <w:color w:val="auto"/>
          <w:sz w:val="30"/>
          <w:szCs w:val="24"/>
          <w:highlight w:val="none"/>
          <w:lang w:val="en-US" w:eastAsia="zh-CN"/>
        </w:rPr>
        <w:t>2</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属于延续性项目</w:t>
      </w:r>
      <w:r>
        <w:rPr>
          <w:rFonts w:hint="eastAsia" w:ascii="仿宋_GB2312" w:eastAsia="仿宋_GB2312"/>
          <w:color w:val="auto"/>
          <w:sz w:val="30"/>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实施结果：项目资金执行率达到了</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%,结余经费</w:t>
      </w:r>
      <w:r>
        <w:rPr>
          <w:rFonts w:hint="eastAsia" w:ascii="仿宋_GB2312" w:hAnsi="Times New Roman" w:eastAsia="仿宋_GB2312"/>
          <w:color w:val="auto"/>
          <w:sz w:val="30"/>
          <w:szCs w:val="24"/>
          <w:highlight w:val="none"/>
          <w:lang w:val="en-US" w:eastAsia="zh-CN"/>
        </w:rPr>
        <w:t>0</w:t>
      </w:r>
      <w:r>
        <w:rPr>
          <w:rFonts w:hint="eastAsia" w:ascii="仿宋_GB2312" w:hAnsi="Times New Roman" w:eastAsia="仿宋_GB2312"/>
          <w:color w:val="auto"/>
          <w:sz w:val="30"/>
          <w:szCs w:val="24"/>
          <w:highlight w:val="none"/>
        </w:rPr>
        <w:t>万元，不结转至次年使用。项目总体目标完成100%。</w:t>
      </w:r>
    </w:p>
    <w:p>
      <w:pPr>
        <w:keepNext w:val="0"/>
        <w:keepLines w:val="0"/>
        <w:pageBreakBefore w:val="0"/>
        <w:widowControl w:val="0"/>
        <w:kinsoku/>
        <w:wordWrap/>
        <w:overflowPunct/>
        <w:topLinePunct w:val="0"/>
        <w:autoSpaceDE/>
        <w:autoSpaceDN/>
        <w:bidi w:val="0"/>
        <w:adjustRightInd/>
        <w:snapToGrid/>
        <w:spacing w:line="560" w:lineRule="exact"/>
        <w:ind w:left="420" w:leftChars="200"/>
        <w:textAlignment w:val="auto"/>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4、资金投入</w:t>
      </w:r>
      <w:r>
        <w:rPr>
          <w:rFonts w:hint="eastAsia" w:ascii="仿宋_GB2312" w:eastAsia="仿宋_GB2312"/>
          <w:color w:val="auto"/>
          <w:sz w:val="30"/>
          <w:szCs w:val="24"/>
          <w:highlight w:val="none"/>
        </w:rPr>
        <w:t>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年度</w:t>
      </w:r>
      <w:r>
        <w:rPr>
          <w:rFonts w:hint="eastAsia" w:ascii="仿宋_GB2312" w:hAnsi="Times New Roman" w:eastAsia="仿宋_GB2312"/>
          <w:color w:val="auto"/>
          <w:sz w:val="30"/>
          <w:szCs w:val="24"/>
          <w:highlight w:val="none"/>
          <w:lang w:val="en-US" w:eastAsia="zh-CN"/>
        </w:rPr>
        <w:t>乌尔禾区</w:t>
      </w:r>
      <w:r>
        <w:rPr>
          <w:rFonts w:hint="eastAsia" w:ascii="仿宋_GB2312" w:eastAsia="仿宋_GB2312"/>
          <w:color w:val="auto"/>
          <w:sz w:val="30"/>
          <w:szCs w:val="24"/>
          <w:highlight w:val="none"/>
          <w:lang w:val="en-US" w:eastAsia="zh-CN"/>
        </w:rPr>
        <w:t>人社</w:t>
      </w:r>
      <w:r>
        <w:rPr>
          <w:rFonts w:hint="eastAsia" w:ascii="仿宋_GB2312" w:hAnsi="Times New Roman" w:eastAsia="仿宋_GB2312"/>
          <w:color w:val="auto"/>
          <w:sz w:val="30"/>
          <w:szCs w:val="24"/>
          <w:highlight w:val="none"/>
          <w:lang w:val="en-US" w:eastAsia="zh-CN"/>
        </w:rPr>
        <w:t>局</w:t>
      </w:r>
      <w:r>
        <w:rPr>
          <w:rFonts w:hint="eastAsia" w:ascii="仿宋_GB2312" w:hAnsi="Times New Roman" w:eastAsia="仿宋_GB2312"/>
          <w:color w:val="auto"/>
          <w:sz w:val="30"/>
          <w:szCs w:val="24"/>
          <w:highlight w:val="none"/>
        </w:rPr>
        <w:t>的</w:t>
      </w:r>
      <w:r>
        <w:rPr>
          <w:rFonts w:hint="eastAsia" w:ascii="仿宋_GB2312" w:hAnsi="Times New Roman" w:eastAsia="仿宋_GB2312"/>
          <w:color w:val="auto"/>
          <w:sz w:val="30"/>
          <w:szCs w:val="24"/>
          <w:highlight w:val="none"/>
          <w:lang w:eastAsia="zh-CN"/>
        </w:rPr>
        <w:t>城乡居民养老保险财政补贴</w:t>
      </w:r>
      <w:r>
        <w:rPr>
          <w:rStyle w:val="4"/>
          <w:rFonts w:hint="eastAsia" w:ascii="仿宋_GB2312" w:hAnsi="仿宋_GB2312" w:eastAsia="仿宋_GB2312" w:cs="仿宋_GB2312"/>
          <w:b w:val="0"/>
          <w:color w:val="auto"/>
          <w:spacing w:val="-4"/>
          <w:sz w:val="32"/>
          <w:szCs w:val="32"/>
          <w:highlight w:val="none"/>
        </w:rPr>
        <w:t>经费</w:t>
      </w:r>
      <w:r>
        <w:rPr>
          <w:rFonts w:hint="eastAsia" w:ascii="仿宋_GB2312" w:hAnsi="Times New Roman" w:eastAsia="仿宋_GB2312"/>
          <w:color w:val="auto"/>
          <w:sz w:val="30"/>
          <w:szCs w:val="24"/>
          <w:highlight w:val="none"/>
        </w:rPr>
        <w:t>预算</w:t>
      </w:r>
      <w:r>
        <w:rPr>
          <w:rFonts w:hint="eastAsia" w:ascii="仿宋_GB2312" w:hAnsi="Times New Roman" w:eastAsia="仿宋_GB2312"/>
          <w:color w:val="auto"/>
          <w:sz w:val="30"/>
          <w:szCs w:val="24"/>
          <w:highlight w:val="none"/>
          <w:lang w:val="en-US" w:eastAsia="zh-CN"/>
        </w:rPr>
        <w:t>36.1</w:t>
      </w:r>
      <w:r>
        <w:rPr>
          <w:rFonts w:hint="eastAsia" w:ascii="仿宋_GB2312" w:eastAsia="仿宋_GB2312"/>
          <w:color w:val="auto"/>
          <w:sz w:val="30"/>
          <w:szCs w:val="24"/>
          <w:highlight w:val="none"/>
          <w:lang w:val="en-US" w:eastAsia="zh-CN"/>
        </w:rPr>
        <w:t>6</w:t>
      </w:r>
      <w:r>
        <w:rPr>
          <w:rFonts w:hint="eastAsia" w:ascii="仿宋_GB2312" w:hAnsi="Times New Roman" w:eastAsia="仿宋_GB2312"/>
          <w:color w:val="auto"/>
          <w:sz w:val="30"/>
          <w:szCs w:val="24"/>
          <w:highlight w:val="none"/>
        </w:rPr>
        <w:t>万元。</w:t>
      </w:r>
      <w:r>
        <w:rPr>
          <w:rFonts w:hint="eastAsia" w:ascii="仿宋_GB2312" w:hAnsi="Times New Roman" w:eastAsia="仿宋_GB2312"/>
          <w:color w:val="auto"/>
          <w:sz w:val="30"/>
          <w:szCs w:val="24"/>
          <w:highlight w:val="none"/>
          <w:lang w:val="en-US" w:eastAsia="zh-CN"/>
        </w:rPr>
        <w:t>当年共支出36.1</w:t>
      </w:r>
      <w:r>
        <w:rPr>
          <w:rFonts w:hint="eastAsia" w:ascii="仿宋_GB2312" w:eastAsia="仿宋_GB2312"/>
          <w:color w:val="auto"/>
          <w:sz w:val="30"/>
          <w:szCs w:val="24"/>
          <w:highlight w:val="none"/>
          <w:lang w:val="en-US" w:eastAsia="zh-CN"/>
        </w:rPr>
        <w:t>6</w:t>
      </w:r>
      <w:r>
        <w:rPr>
          <w:rFonts w:hint="eastAsia" w:ascii="仿宋_GB2312" w:hAnsi="Times New Roman" w:eastAsia="仿宋_GB2312"/>
          <w:color w:val="auto"/>
          <w:sz w:val="30"/>
          <w:szCs w:val="24"/>
          <w:highlight w:val="none"/>
        </w:rPr>
        <w:t>万元。为更好地贯彻落实</w:t>
      </w:r>
      <w:r>
        <w:rPr>
          <w:rFonts w:hint="eastAsia" w:ascii="仿宋_GB2312" w:eastAsia="仿宋_GB2312"/>
          <w:color w:val="auto"/>
          <w:sz w:val="30"/>
          <w:szCs w:val="24"/>
          <w:highlight w:val="none"/>
          <w:lang w:val="en-US" w:eastAsia="zh-CN"/>
        </w:rPr>
        <w:t>人社</w:t>
      </w:r>
      <w:r>
        <w:rPr>
          <w:rFonts w:hint="eastAsia" w:ascii="仿宋_GB2312" w:hAnsi="Times New Roman" w:eastAsia="仿宋_GB2312"/>
          <w:color w:val="auto"/>
          <w:sz w:val="30"/>
          <w:szCs w:val="24"/>
          <w:highlight w:val="none"/>
          <w:lang w:val="en-US" w:eastAsia="zh-CN"/>
        </w:rPr>
        <w:t>监管</w:t>
      </w:r>
      <w:r>
        <w:rPr>
          <w:rFonts w:hint="eastAsia" w:ascii="仿宋_GB2312" w:hAnsi="Times New Roman" w:eastAsia="仿宋_GB2312"/>
          <w:color w:val="auto"/>
          <w:sz w:val="30"/>
          <w:szCs w:val="24"/>
          <w:highlight w:val="none"/>
        </w:rPr>
        <w:t>政策，根据</w:t>
      </w:r>
      <w:r>
        <w:rPr>
          <w:rFonts w:hint="eastAsia" w:ascii="仿宋_GB2312" w:hAnsi="Times New Roman" w:eastAsia="仿宋_GB2312"/>
          <w:color w:val="auto"/>
          <w:sz w:val="30"/>
          <w:szCs w:val="24"/>
          <w:highlight w:val="none"/>
          <w:lang w:eastAsia="zh-CN"/>
        </w:rPr>
        <w:t>城乡居民养老保险财政补贴</w:t>
      </w:r>
      <w:r>
        <w:rPr>
          <w:rStyle w:val="4"/>
          <w:rFonts w:hint="eastAsia" w:ascii="仿宋_GB2312" w:hAnsi="仿宋_GB2312" w:eastAsia="仿宋_GB2312" w:cs="仿宋_GB2312"/>
          <w:b w:val="0"/>
          <w:color w:val="auto"/>
          <w:spacing w:val="-4"/>
          <w:sz w:val="32"/>
          <w:szCs w:val="32"/>
          <w:highlight w:val="none"/>
        </w:rPr>
        <w:t>经费</w:t>
      </w:r>
      <w:r>
        <w:rPr>
          <w:rFonts w:hint="eastAsia" w:ascii="仿宋_GB2312" w:hAnsi="Times New Roman" w:eastAsia="仿宋_GB2312"/>
          <w:color w:val="auto"/>
          <w:sz w:val="30"/>
          <w:szCs w:val="24"/>
          <w:highlight w:val="none"/>
        </w:rPr>
        <w:t>实际需要，</w:t>
      </w:r>
      <w:r>
        <w:rPr>
          <w:rFonts w:hint="eastAsia" w:ascii="仿宋_GB2312" w:hAnsi="Times New Roman" w:eastAsia="仿宋_GB2312"/>
          <w:color w:val="auto"/>
          <w:sz w:val="30"/>
          <w:szCs w:val="24"/>
          <w:highlight w:val="none"/>
          <w:lang w:val="en-US" w:eastAsia="zh-CN"/>
        </w:rPr>
        <w:t>全年</w:t>
      </w:r>
      <w:r>
        <w:rPr>
          <w:rFonts w:hint="eastAsia" w:ascii="仿宋_GB2312" w:hAnsi="Times New Roman" w:eastAsia="仿宋_GB2312"/>
          <w:color w:val="auto"/>
          <w:sz w:val="30"/>
          <w:szCs w:val="24"/>
          <w:highlight w:val="none"/>
        </w:rPr>
        <w:t>实际到位资金共</w:t>
      </w:r>
      <w:r>
        <w:rPr>
          <w:rFonts w:hint="eastAsia" w:ascii="仿宋_GB2312" w:hAnsi="Times New Roman" w:eastAsia="仿宋_GB2312"/>
          <w:color w:val="auto"/>
          <w:sz w:val="30"/>
          <w:szCs w:val="24"/>
          <w:highlight w:val="none"/>
          <w:lang w:val="en-US" w:eastAsia="zh-CN"/>
        </w:rPr>
        <w:t>36.1</w:t>
      </w:r>
      <w:r>
        <w:rPr>
          <w:rFonts w:hint="eastAsia" w:ascii="仿宋_GB2312" w:eastAsia="仿宋_GB2312"/>
          <w:color w:val="auto"/>
          <w:sz w:val="30"/>
          <w:szCs w:val="24"/>
          <w:highlight w:val="none"/>
          <w:lang w:val="en-US" w:eastAsia="zh-CN"/>
        </w:rPr>
        <w:t>6</w:t>
      </w:r>
      <w:r>
        <w:rPr>
          <w:rFonts w:hint="eastAsia" w:ascii="仿宋_GB2312" w:hAnsi="Times New Roman" w:eastAsia="仿宋_GB2312"/>
          <w:color w:val="auto"/>
          <w:sz w:val="30"/>
          <w:szCs w:val="24"/>
          <w:highlight w:val="none"/>
        </w:rPr>
        <w:t>万元</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实际使用资金36.1</w:t>
      </w:r>
      <w:r>
        <w:rPr>
          <w:rFonts w:hint="eastAsia" w:ascii="仿宋_GB2312" w:eastAsia="仿宋_GB2312"/>
          <w:color w:val="auto"/>
          <w:sz w:val="30"/>
          <w:szCs w:val="24"/>
          <w:highlight w:val="none"/>
          <w:lang w:val="en-US" w:eastAsia="zh-CN"/>
        </w:rPr>
        <w:t>6</w:t>
      </w:r>
      <w:r>
        <w:rPr>
          <w:rFonts w:hint="eastAsia" w:ascii="仿宋_GB2312" w:hAnsi="Times New Roman" w:eastAsia="仿宋_GB2312"/>
          <w:color w:val="auto"/>
          <w:sz w:val="30"/>
          <w:szCs w:val="24"/>
          <w:highlight w:val="none"/>
          <w:lang w:val="en-US" w:eastAsia="zh-CN"/>
        </w:rPr>
        <w:t>万元</w:t>
      </w:r>
      <w:r>
        <w:rPr>
          <w:rFonts w:hint="eastAsia" w:ascii="仿宋_GB2312" w:hAnsi="Times New Roman" w:eastAsia="仿宋_GB2312"/>
          <w:color w:val="auto"/>
          <w:sz w:val="30"/>
          <w:szCs w:val="24"/>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资金使用情况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年度</w:t>
      </w:r>
      <w:r>
        <w:rPr>
          <w:rFonts w:hint="eastAsia" w:ascii="仿宋_GB2312" w:hAnsi="Times New Roman" w:eastAsia="仿宋_GB2312"/>
          <w:color w:val="auto"/>
          <w:sz w:val="30"/>
          <w:szCs w:val="24"/>
          <w:highlight w:val="none"/>
          <w:lang w:val="en-US" w:eastAsia="zh-CN"/>
        </w:rPr>
        <w:t>乌尔禾区人社局</w:t>
      </w:r>
      <w:r>
        <w:rPr>
          <w:rFonts w:hint="eastAsia" w:ascii="仿宋_GB2312" w:hAnsi="Times New Roman" w:eastAsia="仿宋_GB2312"/>
          <w:color w:val="auto"/>
          <w:sz w:val="30"/>
          <w:szCs w:val="24"/>
          <w:highlight w:val="none"/>
        </w:rPr>
        <w:t>的</w:t>
      </w:r>
      <w:r>
        <w:rPr>
          <w:rFonts w:hint="eastAsia" w:ascii="仿宋_GB2312" w:hAnsi="Times New Roman" w:eastAsia="仿宋_GB2312"/>
          <w:color w:val="auto"/>
          <w:sz w:val="30"/>
          <w:szCs w:val="24"/>
          <w:highlight w:val="none"/>
          <w:lang w:eastAsia="zh-CN"/>
        </w:rPr>
        <w:t>城乡居民养老保险财政补贴</w:t>
      </w:r>
      <w:r>
        <w:rPr>
          <w:rFonts w:hint="eastAsia" w:ascii="仿宋_GB2312" w:hAnsi="Times New Roman" w:eastAsia="仿宋_GB2312"/>
          <w:color w:val="auto"/>
          <w:sz w:val="30"/>
          <w:szCs w:val="24"/>
          <w:highlight w:val="none"/>
        </w:rPr>
        <w:t>资金共计</w:t>
      </w:r>
      <w:r>
        <w:rPr>
          <w:rFonts w:hint="eastAsia" w:ascii="仿宋_GB2312" w:hAnsi="Times New Roman" w:eastAsia="仿宋_GB2312"/>
          <w:color w:val="auto"/>
          <w:sz w:val="30"/>
          <w:szCs w:val="24"/>
          <w:highlight w:val="none"/>
          <w:lang w:val="en-US" w:eastAsia="zh-CN"/>
        </w:rPr>
        <w:t>36.16</w:t>
      </w:r>
      <w:r>
        <w:rPr>
          <w:rFonts w:hint="eastAsia" w:ascii="仿宋_GB2312" w:hAnsi="Times New Roman" w:eastAsia="仿宋_GB2312"/>
          <w:color w:val="auto"/>
          <w:sz w:val="30"/>
          <w:szCs w:val="24"/>
          <w:highlight w:val="none"/>
        </w:rPr>
        <w:t>万元。截止201</w:t>
      </w:r>
      <w:r>
        <w:rPr>
          <w:rFonts w:hint="eastAsia" w:ascii="仿宋_GB2312" w:hAnsi="Times New Roman"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年12月31日,项目实际使用资金</w:t>
      </w:r>
      <w:r>
        <w:rPr>
          <w:rFonts w:hint="eastAsia" w:ascii="仿宋_GB2312" w:hAnsi="Times New Roman" w:eastAsia="仿宋_GB2312"/>
          <w:color w:val="auto"/>
          <w:sz w:val="30"/>
          <w:szCs w:val="24"/>
          <w:highlight w:val="none"/>
          <w:lang w:val="en-US" w:eastAsia="zh-CN"/>
        </w:rPr>
        <w:t>36.16</w:t>
      </w:r>
      <w:r>
        <w:rPr>
          <w:rFonts w:hint="eastAsia" w:ascii="仿宋_GB2312" w:hAnsi="Times New Roman" w:eastAsia="仿宋_GB2312"/>
          <w:color w:val="auto"/>
          <w:sz w:val="30"/>
          <w:szCs w:val="24"/>
          <w:highlight w:val="none"/>
        </w:rPr>
        <w:t>万元，全部用于主要用于具有乌尔禾户籍未参加其他类型的社会保险的居民</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保障我区城乡居民养老保险缴费的筹资。资金执行率达到了</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%,结余经费</w:t>
      </w:r>
      <w:r>
        <w:rPr>
          <w:rFonts w:hint="eastAsia" w:ascii="仿宋_GB2312" w:hAnsi="Times New Roman" w:eastAsia="仿宋_GB2312"/>
          <w:color w:val="auto"/>
          <w:sz w:val="30"/>
          <w:szCs w:val="24"/>
          <w:highlight w:val="none"/>
          <w:lang w:val="en-US" w:eastAsia="zh-CN"/>
        </w:rPr>
        <w:t>0</w:t>
      </w:r>
      <w:r>
        <w:rPr>
          <w:rFonts w:hint="eastAsia" w:ascii="仿宋_GB2312" w:hAnsi="Times New Roman" w:eastAsia="仿宋_GB2312"/>
          <w:color w:val="auto"/>
          <w:sz w:val="30"/>
          <w:szCs w:val="24"/>
          <w:highlight w:val="none"/>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bookmarkStart w:id="0" w:name="bookmark51"/>
      <w:bookmarkEnd w:id="0"/>
      <w:bookmarkStart w:id="1" w:name="bookmark49"/>
      <w:bookmarkEnd w:id="1"/>
      <w:r>
        <w:rPr>
          <w:rFonts w:hint="eastAsia" w:ascii="仿宋_GB2312" w:hAnsi="Times New Roman" w:eastAsia="仿宋_GB2312"/>
          <w:color w:val="auto"/>
          <w:sz w:val="30"/>
          <w:szCs w:val="24"/>
          <w:highlight w:val="none"/>
        </w:rPr>
        <w:t>项目绩效目标</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总体目标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通过对城乡居民进行适当补助，实现人人都能享受养老服务。项目属于国家出台对城乡居民补助性质政策，主要用途是对辖区城乡居民参保城乡居民基本养老保险缴费按一定比例进行筹资补助，提供有力支持，从而进一步完善辖区城乡居民基本养老体系，涉及范围是本地居民。</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阶段性目标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通过对城乡居民进行适当补助，实现人人都能享受养老服务。项目属于国家出台对城乡居民补助性质政策，主要用途是对辖区城乡居民参保城乡居民基本养老保险缴费按一定比例进行筹资补助，提供有力支持，从而进一步完善辖区城乡居民基本养老体系，涉及范围是本地居民。2019年完成全区符合条件的居民的补贴。</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color w:val="auto"/>
          <w:sz w:val="30"/>
          <w:szCs w:val="24"/>
          <w:highlight w:val="none"/>
        </w:rPr>
      </w:pPr>
      <w:r>
        <w:rPr>
          <w:rFonts w:hint="eastAsia" w:ascii="黑体" w:hAnsi="黑体" w:eastAsia="黑体"/>
          <w:color w:val="auto"/>
          <w:sz w:val="30"/>
          <w:szCs w:val="24"/>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（一）绩效评价目的、对象和范围。</w:t>
      </w:r>
    </w:p>
    <w:p>
      <w:pPr>
        <w:pStyle w:val="5"/>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color w:val="auto"/>
          <w:sz w:val="30"/>
          <w:szCs w:val="24"/>
          <w:highlight w:val="none"/>
        </w:rPr>
      </w:pPr>
      <w:r>
        <w:rPr>
          <w:rFonts w:hint="eastAsia" w:ascii="仿宋_GB2312"/>
          <w:color w:val="auto"/>
          <w:sz w:val="30"/>
          <w:szCs w:val="24"/>
          <w:highlight w:val="none"/>
        </w:rPr>
        <w:t>1、绩效评价目的</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通过绩效评价，客观地评判项目的管理绩效，了解和掌握城乡居民养老保险财政补贴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同时将绩效评价结果与项目预算挂钩，为下年度专项资金的使用提供决策参考，进一步提高专项资金的使用效益及配置效率，实现人社资源配置效益与效率最大化。</w:t>
      </w:r>
    </w:p>
    <w:p>
      <w:pPr>
        <w:pStyle w:val="5"/>
        <w:keepNext w:val="0"/>
        <w:keepLines w:val="0"/>
        <w:pageBreakBefore w:val="0"/>
        <w:widowControl w:val="0"/>
        <w:kinsoku/>
        <w:wordWrap/>
        <w:overflowPunct/>
        <w:topLinePunct w:val="0"/>
        <w:autoSpaceDE/>
        <w:autoSpaceDN/>
        <w:bidi w:val="0"/>
        <w:adjustRightInd/>
        <w:snapToGrid/>
        <w:spacing w:line="560" w:lineRule="exact"/>
        <w:ind w:left="420" w:leftChars="200" w:firstLine="0" w:firstLineChars="0"/>
        <w:textAlignment w:val="auto"/>
        <w:rPr>
          <w:rFonts w:hint="eastAsia" w:ascii="仿宋_GB2312"/>
          <w:color w:val="auto"/>
          <w:sz w:val="30"/>
          <w:szCs w:val="24"/>
          <w:highlight w:val="none"/>
        </w:rPr>
      </w:pPr>
      <w:r>
        <w:rPr>
          <w:rFonts w:hint="eastAsia" w:ascii="仿宋_GB2312"/>
          <w:color w:val="auto"/>
          <w:sz w:val="30"/>
          <w:szCs w:val="24"/>
          <w:highlight w:val="none"/>
        </w:rPr>
        <w:t>2、绩效评价对象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对城乡居民养老保险财政补贴从预算编制合理性、资金使用合规性、项目管理的规范性、实施情况、总体绩效目标、各项绩效指标完成情况以及预算执行情况进行科</w:t>
      </w:r>
      <w:r>
        <w:rPr>
          <w:rFonts w:hint="eastAsia" w:ascii="仿宋_GB2312" w:hAnsi="Times New Roman" w:eastAsia="仿宋_GB2312" w:cs="Times New Roman"/>
          <w:color w:val="auto"/>
          <w:kern w:val="2"/>
          <w:sz w:val="30"/>
          <w:szCs w:val="24"/>
          <w:highlight w:val="none"/>
          <w:lang w:val="en-US" w:eastAsia="zh-CN" w:bidi="ar-SA"/>
        </w:rPr>
        <w:t>学性评价。</w:t>
      </w:r>
    </w:p>
    <w:p>
      <w:pPr>
        <w:pStyle w:val="5"/>
        <w:keepNext w:val="0"/>
        <w:keepLines w:val="0"/>
        <w:pageBreakBefore w:val="0"/>
        <w:widowControl w:val="0"/>
        <w:kinsoku/>
        <w:wordWrap/>
        <w:overflowPunct/>
        <w:topLinePunct w:val="0"/>
        <w:autoSpaceDE/>
        <w:autoSpaceDN/>
        <w:bidi w:val="0"/>
        <w:adjustRightInd/>
        <w:snapToGrid/>
        <w:spacing w:line="560" w:lineRule="exact"/>
        <w:ind w:left="420" w:leftChars="200" w:firstLine="0" w:firstLineChars="0"/>
        <w:textAlignment w:val="auto"/>
        <w:rPr>
          <w:rFonts w:hint="eastAsia" w:ascii="仿宋_GB2312"/>
          <w:color w:val="auto"/>
          <w:sz w:val="30"/>
          <w:szCs w:val="24"/>
          <w:highlight w:val="none"/>
        </w:rPr>
      </w:pPr>
      <w:r>
        <w:rPr>
          <w:rFonts w:hint="eastAsia" w:ascii="仿宋_GB2312"/>
          <w:color w:val="auto"/>
          <w:sz w:val="30"/>
          <w:szCs w:val="24"/>
          <w:highlight w:val="none"/>
        </w:rPr>
        <w:t>3、绩效评价范围</w:t>
      </w:r>
    </w:p>
    <w:p>
      <w:pPr>
        <w:pStyle w:val="5"/>
        <w:keepNext w:val="0"/>
        <w:keepLines w:val="0"/>
        <w:pageBreakBefore w:val="0"/>
        <w:widowControl w:val="0"/>
        <w:kinsoku/>
        <w:wordWrap/>
        <w:overflowPunct/>
        <w:topLinePunct w:val="0"/>
        <w:autoSpaceDE/>
        <w:autoSpaceDN/>
        <w:bidi w:val="0"/>
        <w:adjustRightInd/>
        <w:snapToGrid/>
        <w:spacing w:line="560" w:lineRule="exact"/>
        <w:ind w:firstLine="750" w:firstLineChars="250"/>
        <w:textAlignment w:val="auto"/>
        <w:rPr>
          <w:rFonts w:hint="eastAsia" w:ascii="仿宋_GB2312" w:hAnsi="Times New Roman" w:eastAsia="仿宋_GB2312" w:cs="Times New Roman"/>
          <w:color w:val="auto"/>
          <w:kern w:val="2"/>
          <w:sz w:val="30"/>
          <w:szCs w:val="24"/>
          <w:highlight w:val="none"/>
          <w:lang w:val="en-US" w:eastAsia="zh-CN" w:bidi="ar-SA"/>
        </w:rPr>
      </w:pPr>
      <w:r>
        <w:rPr>
          <w:rFonts w:hint="eastAsia" w:ascii="仿宋_GB2312" w:hAnsi="Times New Roman" w:eastAsia="仿宋_GB2312" w:cs="Times New Roman"/>
          <w:color w:val="auto"/>
          <w:kern w:val="2"/>
          <w:sz w:val="30"/>
          <w:szCs w:val="24"/>
          <w:highlight w:val="none"/>
          <w:lang w:val="en-US" w:eastAsia="zh-CN" w:bidi="ar-SA"/>
        </w:rPr>
        <w:t>本次评价从项目决策（包括绩效目标、决策过程）、项目管理（包括项目资金、项目实施）、项目产出（包括项目产出数量、产出质量、产出时效和产出成本）项目效益四个维度进行评价，评价对象为</w:t>
      </w:r>
      <w:r>
        <w:rPr>
          <w:rFonts w:hint="eastAsia" w:ascii="仿宋_GB2312" w:cs="Times New Roman"/>
          <w:color w:val="auto"/>
          <w:kern w:val="2"/>
          <w:sz w:val="30"/>
          <w:szCs w:val="24"/>
          <w:highlight w:val="none"/>
          <w:lang w:val="en-US" w:eastAsia="zh-CN" w:bidi="ar-SA"/>
        </w:rPr>
        <w:t>人社</w:t>
      </w:r>
      <w:r>
        <w:rPr>
          <w:rFonts w:hint="eastAsia" w:ascii="仿宋_GB2312" w:hAnsi="Times New Roman" w:eastAsia="仿宋_GB2312" w:cs="Times New Roman"/>
          <w:color w:val="auto"/>
          <w:kern w:val="2"/>
          <w:sz w:val="30"/>
          <w:szCs w:val="24"/>
          <w:highlight w:val="none"/>
          <w:lang w:val="en-US" w:eastAsia="zh-CN" w:bidi="ar-SA"/>
        </w:rPr>
        <w:t>下达预算绩效管理信息化系统建设项目，评价核心为专项资金的支出完成情况和效果。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585"/>
        <w:textAlignment w:val="auto"/>
        <w:rPr>
          <w:rFonts w:hint="eastAsia" w:ascii="仿宋_GB2312" w:hAnsi="Times New Roman" w:eastAsia="仿宋_GB2312"/>
          <w:color w:val="auto"/>
          <w:sz w:val="30"/>
          <w:szCs w:val="24"/>
          <w:highlight w:val="none"/>
        </w:rPr>
      </w:pPr>
      <w:r>
        <w:rPr>
          <w:rFonts w:hint="eastAsia" w:ascii="Times New Roman" w:hAnsi="Times New Roman" w:eastAsia="仿宋_GB2312"/>
          <w:color w:val="auto"/>
          <w:sz w:val="28"/>
          <w:szCs w:val="28"/>
          <w:highlight w:val="none"/>
        </w:rPr>
        <w:t>1、</w:t>
      </w:r>
      <w:r>
        <w:rPr>
          <w:rFonts w:hint="eastAsia" w:ascii="仿宋_GB2312" w:hAnsi="Times New Roman" w:eastAsia="仿宋_GB2312"/>
          <w:color w:val="auto"/>
          <w:sz w:val="30"/>
          <w:szCs w:val="24"/>
          <w:highlight w:val="none"/>
        </w:rPr>
        <w:t>绩效评价原则</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1</w:t>
      </w:r>
      <w:r>
        <w:rPr>
          <w:rFonts w:ascii="仿宋_GB2312" w:hAnsi="Times New Roman" w:eastAsia="仿宋_GB2312" w:cs="Times New Roman"/>
          <w:color w:val="auto"/>
          <w:szCs w:val="24"/>
          <w:highlight w:val="none"/>
          <w:lang w:val="en-US" w:eastAsia="zh-CN" w:bidi="ar-SA"/>
        </w:rPr>
        <w:t>）普遍性原则：应符合</w:t>
      </w:r>
      <w:r>
        <w:rPr>
          <w:rFonts w:hint="eastAsia" w:ascii="仿宋_GB2312" w:hAnsi="Times New Roman" w:eastAsia="仿宋_GB2312" w:cs="Times New Roman"/>
          <w:color w:val="auto"/>
          <w:szCs w:val="24"/>
          <w:highlight w:val="none"/>
          <w:lang w:val="en-US" w:eastAsia="zh-CN" w:bidi="ar-SA"/>
        </w:rPr>
        <w:t>乌尔禾区人社</w:t>
      </w:r>
      <w:r>
        <w:rPr>
          <w:rFonts w:ascii="仿宋_GB2312" w:hAnsi="Times New Roman" w:eastAsia="仿宋_GB2312" w:cs="Times New Roman"/>
          <w:color w:val="auto"/>
          <w:szCs w:val="24"/>
          <w:highlight w:val="none"/>
          <w:lang w:val="en-US" w:eastAsia="zh-CN" w:bidi="ar-SA"/>
        </w:rPr>
        <w:t>局的工作性质和要求，具有普遍的适用性。</w:t>
      </w:r>
    </w:p>
    <w:p>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2</w:t>
      </w:r>
      <w:r>
        <w:rPr>
          <w:rFonts w:ascii="仿宋_GB2312" w:hAnsi="Times New Roman" w:eastAsia="仿宋_GB2312" w:cs="Times New Roman"/>
          <w:color w:val="auto"/>
          <w:szCs w:val="24"/>
          <w:highlight w:val="none"/>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3</w:t>
      </w:r>
      <w:r>
        <w:rPr>
          <w:rFonts w:ascii="仿宋_GB2312" w:hAnsi="Times New Roman" w:eastAsia="仿宋_GB2312" w:cs="Times New Roman"/>
          <w:color w:val="auto"/>
          <w:szCs w:val="24"/>
          <w:highlight w:val="none"/>
          <w:lang w:val="en-US" w:eastAsia="zh-CN" w:bidi="ar-SA"/>
        </w:rPr>
        <w:t>）适量原则：要科学、准确、合理，绩效目标不能过高过低，脱离免费开放工作实际。</w:t>
      </w:r>
    </w:p>
    <w:p>
      <w:pPr>
        <w:pStyle w:val="6"/>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4</w:t>
      </w:r>
      <w:r>
        <w:rPr>
          <w:rFonts w:ascii="仿宋_GB2312" w:hAnsi="Times New Roman" w:eastAsia="仿宋_GB2312" w:cs="Times New Roman"/>
          <w:color w:val="auto"/>
          <w:szCs w:val="24"/>
          <w:highlight w:val="none"/>
          <w:lang w:val="en-US" w:eastAsia="zh-CN" w:bidi="ar-SA"/>
        </w:rPr>
        <w:t>）重要性原则：在选择指标的过程中，要根据指标在整个绩效评价体系中的地位和作用进行筛选，选择最具代表性、最能反映评价要求的指标。</w:t>
      </w:r>
    </w:p>
    <w:p>
      <w:pPr>
        <w:pStyle w:val="6"/>
        <w:keepNext w:val="0"/>
        <w:keepLines w:val="0"/>
        <w:pageBreakBefore w:val="0"/>
        <w:widowControl w:val="0"/>
        <w:tabs>
          <w:tab w:val="left" w:pos="48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5</w:t>
      </w:r>
      <w:r>
        <w:rPr>
          <w:rFonts w:ascii="仿宋_GB2312" w:hAnsi="Times New Roman" w:eastAsia="仿宋_GB2312" w:cs="Times New Roman"/>
          <w:color w:val="auto"/>
          <w:szCs w:val="24"/>
          <w:highlight w:val="none"/>
          <w:lang w:val="en-US" w:eastAsia="zh-CN" w:bidi="ar-SA"/>
        </w:rPr>
        <w:t>）可比性原则：要保证评价结果可以在其他省</w:t>
      </w:r>
      <w:r>
        <w:rPr>
          <w:rFonts w:hint="eastAsia" w:ascii="仿宋_GB2312" w:hAnsi="Times New Roman" w:eastAsia="仿宋_GB2312" w:cs="Times New Roman"/>
          <w:color w:val="auto"/>
          <w:szCs w:val="24"/>
          <w:highlight w:val="none"/>
          <w:lang w:val="en-US" w:eastAsia="zh-CN" w:bidi="ar-SA"/>
        </w:rPr>
        <w:t>区</w:t>
      </w:r>
      <w:r>
        <w:rPr>
          <w:rFonts w:ascii="仿宋_GB2312" w:hAnsi="Times New Roman" w:eastAsia="仿宋_GB2312" w:cs="Times New Roman"/>
          <w:color w:val="auto"/>
          <w:szCs w:val="24"/>
          <w:highlight w:val="none"/>
          <w:lang w:val="en-US" w:eastAsia="zh-CN" w:bidi="ar-SA"/>
        </w:rPr>
        <w:t>之间比较和借鉴。</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6</w:t>
      </w:r>
      <w:r>
        <w:rPr>
          <w:rFonts w:ascii="仿宋_GB2312" w:hAnsi="Times New Roman" w:eastAsia="仿宋_GB2312" w:cs="Times New Roman"/>
          <w:color w:val="auto"/>
          <w:szCs w:val="24"/>
          <w:highlight w:val="none"/>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Times New Roman" w:eastAsia="仿宋_GB2312" w:cs="Times New Roman"/>
          <w:color w:val="auto"/>
          <w:szCs w:val="24"/>
          <w:highlight w:val="none"/>
          <w:lang w:eastAsia="zh-CN"/>
        </w:rPr>
      </w:pPr>
      <w:r>
        <w:rPr>
          <w:rFonts w:hint="eastAsia" w:ascii="仿宋_GB2312" w:hAnsi="Times New Roman" w:eastAsia="仿宋_GB2312" w:cs="Times New Roman"/>
          <w:color w:val="auto"/>
          <w:szCs w:val="24"/>
          <w:highlight w:val="none"/>
          <w:lang w:eastAsia="zh-CN"/>
        </w:rPr>
        <w:t>2、</w:t>
      </w:r>
      <w:r>
        <w:rPr>
          <w:rFonts w:hint="eastAsia" w:ascii="仿宋_GB2312" w:hAnsi="Times New Roman" w:eastAsia="仿宋_GB2312" w:cs="Times New Roman"/>
          <w:color w:val="auto"/>
          <w:szCs w:val="24"/>
          <w:highlight w:val="none"/>
        </w:rPr>
        <w:t>绩效评价指标体系</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Times New Roman" w:eastAsia="仿宋_GB2312" w:cs="Times New Roman"/>
          <w:color w:val="auto"/>
          <w:szCs w:val="24"/>
          <w:highlight w:val="none"/>
          <w:lang w:eastAsia="zh-CN"/>
        </w:rPr>
      </w:pPr>
      <w:r>
        <w:rPr>
          <w:rFonts w:ascii="仿宋_GB2312" w:hAnsi="Times New Roman" w:eastAsia="仿宋_GB2312" w:cs="Times New Roman"/>
          <w:color w:val="auto"/>
          <w:szCs w:val="24"/>
          <w:highlight w:val="none"/>
          <w:lang w:val="en-US" w:eastAsia="zh-CN"/>
        </w:rPr>
        <w:t>绩效评价指标的确定遵循以下原则：</w:t>
      </w:r>
      <w:bookmarkStart w:id="2" w:name="bookmark71"/>
      <w:bookmarkEnd w:id="2"/>
    </w:p>
    <w:p>
      <w:pPr>
        <w:pStyle w:val="6"/>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color w:val="auto"/>
          <w:szCs w:val="24"/>
          <w:highlight w:val="none"/>
          <w:lang w:val="en-US" w:eastAsia="zh-CN"/>
        </w:rPr>
      </w:pPr>
      <w:r>
        <w:rPr>
          <w:rFonts w:ascii="仿宋_GB2312" w:hAnsi="Times New Roman" w:eastAsia="仿宋_GB2312" w:cs="Times New Roman"/>
          <w:color w:val="auto"/>
          <w:szCs w:val="24"/>
          <w:highlight w:val="none"/>
          <w:lang w:val="en-US"/>
        </w:rPr>
        <w:t>（</w:t>
      </w:r>
      <w:r>
        <w:rPr>
          <w:rFonts w:hint="eastAsia" w:ascii="仿宋_GB2312" w:hAnsi="Times New Roman" w:eastAsia="仿宋_GB2312" w:cs="Times New Roman"/>
          <w:color w:val="auto"/>
          <w:szCs w:val="24"/>
          <w:highlight w:val="none"/>
          <w:lang w:val="en-US" w:eastAsia="zh-CN"/>
        </w:rPr>
        <w:t>1</w:t>
      </w:r>
      <w:r>
        <w:rPr>
          <w:rFonts w:ascii="仿宋_GB2312" w:hAnsi="Times New Roman" w:eastAsia="仿宋_GB2312" w:cs="Times New Roman"/>
          <w:color w:val="auto"/>
          <w:szCs w:val="24"/>
          <w:highlight w:val="none"/>
          <w:lang w:val="en-US"/>
        </w:rPr>
        <w:t>）</w:t>
      </w:r>
      <w:r>
        <w:rPr>
          <w:rFonts w:ascii="仿宋_GB2312" w:hAnsi="Times New Roman" w:eastAsia="仿宋_GB2312" w:cs="Times New Roman"/>
          <w:color w:val="auto"/>
          <w:szCs w:val="24"/>
          <w:highlight w:val="none"/>
          <w:lang w:val="en-US" w:eastAsia="zh-CN"/>
        </w:rPr>
        <w:t>相关性原则一一应当与绩效目标有直接的联系，能够恰当反映目标的实现程度。</w:t>
      </w:r>
      <w:bookmarkStart w:id="3" w:name="bookmark72"/>
      <w:bookmarkEnd w:id="3"/>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Cs w:val="24"/>
          <w:highlight w:val="none"/>
          <w:lang w:eastAsia="zh-CN"/>
        </w:rPr>
      </w:pPr>
      <w:r>
        <w:rPr>
          <w:rFonts w:ascii="仿宋_GB2312" w:hAnsi="Times New Roman" w:eastAsia="仿宋_GB2312" w:cs="Times New Roman"/>
          <w:color w:val="auto"/>
          <w:szCs w:val="24"/>
          <w:highlight w:val="none"/>
          <w:lang w:val="en-US" w:eastAsia="zh-CN"/>
        </w:rPr>
        <w:t>（</w:t>
      </w:r>
      <w:r>
        <w:rPr>
          <w:rFonts w:hint="eastAsia" w:ascii="仿宋_GB2312" w:hAnsi="Times New Roman" w:eastAsia="仿宋_GB2312" w:cs="Times New Roman"/>
          <w:color w:val="auto"/>
          <w:szCs w:val="24"/>
          <w:highlight w:val="none"/>
          <w:lang w:val="en-US" w:eastAsia="zh-CN"/>
        </w:rPr>
        <w:t>2</w:t>
      </w:r>
      <w:r>
        <w:rPr>
          <w:rFonts w:ascii="仿宋_GB2312" w:hAnsi="Times New Roman" w:eastAsia="仿宋_GB2312" w:cs="Times New Roman"/>
          <w:color w:val="auto"/>
          <w:szCs w:val="24"/>
          <w:highlight w:val="none"/>
          <w:lang w:val="en-US" w:eastAsia="zh-CN"/>
        </w:rPr>
        <w:t>）重要性原则一一优先使用最具评价对象代表性、最能反映评价要求的核心指标。</w:t>
      </w:r>
    </w:p>
    <w:p>
      <w:pPr>
        <w:pStyle w:val="6"/>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99" w:firstLineChars="233"/>
        <w:jc w:val="left"/>
        <w:textAlignment w:val="auto"/>
        <w:rPr>
          <w:rFonts w:ascii="仿宋_GB2312" w:hAnsi="Times New Roman" w:eastAsia="仿宋_GB2312" w:cs="Times New Roman"/>
          <w:color w:val="auto"/>
          <w:szCs w:val="24"/>
          <w:highlight w:val="none"/>
          <w:lang w:val="en-US" w:eastAsia="zh-CN"/>
        </w:rPr>
      </w:pPr>
      <w:bookmarkStart w:id="4" w:name="bookmark73"/>
      <w:bookmarkEnd w:id="4"/>
      <w:r>
        <w:rPr>
          <w:rFonts w:hint="eastAsia" w:ascii="仿宋_GB2312" w:hAnsi="Times New Roman" w:eastAsia="仿宋_GB2312" w:cs="Times New Roman"/>
          <w:color w:val="auto"/>
          <w:szCs w:val="24"/>
          <w:highlight w:val="none"/>
          <w:lang w:val="en-US" w:eastAsia="zh-CN"/>
        </w:rPr>
        <w:t>（3）</w:t>
      </w:r>
      <w:r>
        <w:rPr>
          <w:rFonts w:ascii="仿宋_GB2312" w:hAnsi="Times New Roman" w:eastAsia="仿宋_GB2312" w:cs="Times New Roman"/>
          <w:color w:val="auto"/>
          <w:szCs w:val="24"/>
          <w:highlight w:val="none"/>
          <w:lang w:val="en-US" w:eastAsia="zh-CN"/>
        </w:rPr>
        <w:t>可比性原则一一对同类评价对象要设定共性的绩效评价指标，以便于评价结果可以相互比较。</w:t>
      </w:r>
    </w:p>
    <w:p>
      <w:pPr>
        <w:pStyle w:val="6"/>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99" w:firstLineChars="233"/>
        <w:jc w:val="left"/>
        <w:textAlignment w:val="auto"/>
        <w:rPr>
          <w:rFonts w:ascii="仿宋_GB2312" w:hAnsi="Times New Roman" w:eastAsia="仿宋_GB2312" w:cs="Times New Roman"/>
          <w:color w:val="auto"/>
          <w:szCs w:val="24"/>
          <w:highlight w:val="none"/>
          <w:lang w:val="en-US" w:eastAsia="zh-CN"/>
        </w:rPr>
      </w:pPr>
      <w:bookmarkStart w:id="5" w:name="bookmark74"/>
      <w:bookmarkEnd w:id="5"/>
      <w:r>
        <w:rPr>
          <w:rFonts w:hint="eastAsia" w:ascii="仿宋_GB2312" w:hAnsi="Times New Roman" w:eastAsia="仿宋_GB2312" w:cs="Times New Roman"/>
          <w:color w:val="auto"/>
          <w:szCs w:val="24"/>
          <w:highlight w:val="none"/>
          <w:lang w:val="en-US" w:eastAsia="zh-CN"/>
        </w:rPr>
        <w:t>（4）</w:t>
      </w:r>
      <w:r>
        <w:rPr>
          <w:rFonts w:ascii="仿宋_GB2312" w:hAnsi="Times New Roman" w:eastAsia="仿宋_GB2312" w:cs="Times New Roman"/>
          <w:color w:val="auto"/>
          <w:szCs w:val="24"/>
          <w:highlight w:val="none"/>
          <w:lang w:val="en-US" w:eastAsia="zh-CN"/>
        </w:rPr>
        <w:t>系统性原则一一应当将定量指标与定性指标相结合，系统反映</w:t>
      </w:r>
      <w:r>
        <w:rPr>
          <w:rFonts w:hint="eastAsia" w:ascii="仿宋_GB2312" w:hAnsi="Times New Roman" w:eastAsia="仿宋_GB2312" w:cs="Times New Roman"/>
          <w:color w:val="auto"/>
          <w:szCs w:val="24"/>
          <w:highlight w:val="none"/>
          <w:lang w:val="en-US" w:eastAsia="zh-CN"/>
        </w:rPr>
        <w:t>人社</w:t>
      </w:r>
      <w:r>
        <w:rPr>
          <w:rFonts w:ascii="仿宋_GB2312" w:hAnsi="Times New Roman" w:eastAsia="仿宋_GB2312" w:cs="Times New Roman"/>
          <w:color w:val="auto"/>
          <w:szCs w:val="24"/>
          <w:highlight w:val="none"/>
          <w:lang w:val="en-US" w:eastAsia="zh-CN"/>
        </w:rPr>
        <w:t>支出所产生的社会效益、经济效益、环境效益和可持续影响等。</w:t>
      </w:r>
    </w:p>
    <w:p>
      <w:pPr>
        <w:pStyle w:val="6"/>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color w:val="auto"/>
          <w:szCs w:val="24"/>
          <w:highlight w:val="none"/>
          <w:lang w:val="en-US" w:bidi="ar-SA"/>
        </w:rPr>
      </w:pPr>
      <w:bookmarkStart w:id="6" w:name="bookmark75"/>
      <w:bookmarkEnd w:id="6"/>
      <w:r>
        <w:rPr>
          <w:rFonts w:hint="eastAsia" w:ascii="仿宋_GB2312" w:hAnsi="Times New Roman" w:eastAsia="仿宋_GB2312" w:cs="Times New Roman"/>
          <w:color w:val="auto"/>
          <w:szCs w:val="24"/>
          <w:highlight w:val="none"/>
          <w:lang w:val="en-US" w:eastAsia="zh-CN"/>
        </w:rPr>
        <w:t>（5）</w:t>
      </w:r>
      <w:r>
        <w:rPr>
          <w:rFonts w:ascii="仿宋_GB2312" w:hAnsi="Times New Roman" w:eastAsia="仿宋_GB2312" w:cs="Times New Roman"/>
          <w:color w:val="auto"/>
          <w:szCs w:val="24"/>
          <w:highlight w:val="none"/>
          <w:lang w:val="en-US" w:eastAsia="zh-CN"/>
        </w:rPr>
        <w:t>经济性原则一一应当通俗易懂、简便易行，数据的获得应当考虑现实条件和可操作性，符合成本效益原则。</w:t>
      </w:r>
    </w:p>
    <w:p>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left="500" w:firstLine="0"/>
        <w:textAlignment w:val="auto"/>
        <w:rPr>
          <w:rFonts w:hint="eastAsia" w:ascii="仿宋_GB2312" w:hAnsi="Times New Roman" w:eastAsia="仿宋_GB2312" w:cs="Times New Roman"/>
          <w:color w:val="auto"/>
          <w:szCs w:val="24"/>
          <w:highlight w:val="none"/>
          <w:lang w:val="en-US" w:eastAsia="zh-CN"/>
        </w:rPr>
      </w:pPr>
      <w:r>
        <w:rPr>
          <w:rFonts w:ascii="仿宋_GB2312" w:hAnsi="Times New Roman" w:eastAsia="仿宋_GB2312" w:cs="Times New Roman"/>
          <w:color w:val="auto"/>
          <w:szCs w:val="24"/>
          <w:highlight w:val="none"/>
          <w:lang w:val="en-US" w:eastAsia="zh-CN"/>
        </w:rPr>
        <w:t>绩效评价指标体系设定：</w:t>
      </w:r>
    </w:p>
    <w:p>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hint="eastAsia"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在对</w:t>
      </w:r>
      <w:r>
        <w:rPr>
          <w:rFonts w:hint="eastAsia" w:ascii="仿宋_GB2312" w:hAnsi="Times New Roman" w:eastAsia="仿宋_GB2312" w:cs="Times New Roman"/>
          <w:color w:val="auto"/>
          <w:szCs w:val="24"/>
          <w:highlight w:val="none"/>
          <w:lang w:val="en-US" w:eastAsia="zh-CN" w:bidi="ar-SA"/>
        </w:rPr>
        <w:t>城乡居民养老保险财政补贴</w:t>
      </w:r>
      <w:r>
        <w:rPr>
          <w:rFonts w:ascii="仿宋_GB2312" w:hAnsi="Times New Roman" w:eastAsia="仿宋_GB2312" w:cs="Times New Roman"/>
          <w:color w:val="auto"/>
          <w:szCs w:val="24"/>
          <w:highlight w:val="none"/>
          <w:lang w:val="en-US" w:eastAsia="zh-CN" w:bidi="ar-SA"/>
        </w:rPr>
        <w:t>项目的深入调研的基础上，按照《项目支出绩效评价管理办法》（财预〔20</w:t>
      </w:r>
      <w:r>
        <w:rPr>
          <w:rFonts w:hint="eastAsia" w:ascii="仿宋_GB2312" w:hAnsi="Times New Roman" w:eastAsia="仿宋_GB2312" w:cs="Times New Roman"/>
          <w:color w:val="auto"/>
          <w:szCs w:val="24"/>
          <w:highlight w:val="none"/>
          <w:lang w:val="en-US" w:eastAsia="zh-CN" w:bidi="ar-SA"/>
        </w:rPr>
        <w:t>20</w:t>
      </w: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10号</w:t>
      </w:r>
      <w:r>
        <w:rPr>
          <w:rFonts w:ascii="仿宋_GB2312" w:hAnsi="Times New Roman" w:eastAsia="仿宋_GB2312" w:cs="Times New Roman"/>
          <w:color w:val="auto"/>
          <w:szCs w:val="24"/>
          <w:highlight w:val="none"/>
          <w:lang w:val="en-US" w:eastAsia="zh-CN" w:bidi="ar-SA"/>
        </w:rPr>
        <w:t>）对于指标体系的要求和规范，建立一套适合评价</w:t>
      </w:r>
      <w:r>
        <w:rPr>
          <w:rFonts w:hint="eastAsia" w:ascii="仿宋_GB2312" w:hAnsi="Times New Roman" w:eastAsia="仿宋_GB2312" w:cs="Times New Roman"/>
          <w:color w:val="auto"/>
          <w:szCs w:val="24"/>
          <w:highlight w:val="none"/>
          <w:lang w:val="en-US" w:eastAsia="zh-CN" w:bidi="ar-SA"/>
        </w:rPr>
        <w:t>城乡居民养老保险财政补贴</w:t>
      </w:r>
      <w:r>
        <w:rPr>
          <w:rFonts w:ascii="仿宋_GB2312" w:hAnsi="Times New Roman" w:eastAsia="仿宋_GB2312" w:cs="Times New Roman"/>
          <w:color w:val="auto"/>
          <w:szCs w:val="24"/>
          <w:highlight w:val="none"/>
          <w:lang w:val="en-US" w:eastAsia="zh-CN" w:bidi="ar-SA"/>
        </w:rPr>
        <w:t>资金项目的指标体系，从项目决策、项目过程、项目产出和项目绩效四个维度全面考察</w:t>
      </w:r>
      <w:r>
        <w:rPr>
          <w:rFonts w:hint="eastAsia" w:ascii="仿宋_GB2312" w:hAnsi="Times New Roman" w:eastAsia="仿宋_GB2312" w:cs="Times New Roman"/>
          <w:color w:val="auto"/>
          <w:szCs w:val="24"/>
          <w:highlight w:val="none"/>
          <w:lang w:val="en-US" w:eastAsia="zh-CN" w:bidi="ar-SA"/>
        </w:rPr>
        <w:t>城乡居民养老保险财政补贴</w:t>
      </w:r>
      <w:r>
        <w:rPr>
          <w:rFonts w:ascii="仿宋_GB2312" w:hAnsi="Times New Roman" w:eastAsia="仿宋_GB2312" w:cs="Times New Roman"/>
          <w:color w:val="auto"/>
          <w:szCs w:val="24"/>
          <w:highlight w:val="none"/>
          <w:lang w:val="en-US" w:eastAsia="zh-CN" w:bidi="ar-SA"/>
        </w:rPr>
        <w:t>项目资金的效益，并重点对于项目的产出和绩效进行总体分析，以达到通过指标体系的科学评价反思管理及决策问题的目标。</w:t>
      </w:r>
      <w:r>
        <w:rPr>
          <w:rFonts w:hint="eastAsia" w:ascii="仿宋_GB2312" w:hAnsi="Times New Roman" w:eastAsia="仿宋_GB2312" w:cs="Times New Roman"/>
          <w:color w:val="auto"/>
          <w:szCs w:val="24"/>
          <w:highlight w:val="none"/>
          <w:lang w:val="en-US" w:eastAsia="zh-CN" w:bidi="ar-SA"/>
        </w:rPr>
        <w:t>（见附件1）</w:t>
      </w:r>
    </w:p>
    <w:p>
      <w:pPr>
        <w:pStyle w:val="6"/>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rPr>
        <w:t>3、</w:t>
      </w:r>
      <w:r>
        <w:rPr>
          <w:rFonts w:hint="eastAsia" w:ascii="仿宋_GB2312" w:hAnsi="Times New Roman" w:eastAsia="仿宋_GB2312" w:cs="Times New Roman"/>
          <w:color w:val="auto"/>
          <w:szCs w:val="24"/>
          <w:highlight w:val="none"/>
        </w:rPr>
        <w:t>绩效评价方法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绩效评价方法主要包括成本效益分析法、比较法、因素分析法、最低成本法、公众评判法、标杆管理法等。根据评价对象的具体情况，可采用一种或多种方法。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（一）成本效益分析法。是指将投入与产出、效益进行关联性分析的方法。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（二）比较法。是指将实施情况与绩效目标、历史情况、不同部门和地区同类支出情况进行比较的方法。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（三）因素分析法。是指综合分析影响绩效目标实现、实施效果的内外部因素的方法。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（四）最低成本法。是指在绩效目标确定的前提下，成本最小者为优的方法。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（五）公众评判法。是指通过专家评估、公众问卷及抽样调查等方式进行评判的方法。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（六）标杆管理法。是指以国内外同行业中较高的绩效水平为标杆进行评判的方法。</w:t>
      </w:r>
    </w:p>
    <w:p>
      <w:pPr>
        <w:pStyle w:val="6"/>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hint="eastAsia" w:ascii="Times New Roman" w:hAnsi="Times New Roman" w:eastAsia="仿宋_GB2312"/>
          <w:b/>
          <w:color w:val="auto"/>
          <w:sz w:val="28"/>
          <w:szCs w:val="28"/>
          <w:highlight w:val="none"/>
          <w:lang w:eastAsia="zh-CN"/>
        </w:rPr>
      </w:pPr>
      <w:r>
        <w:rPr>
          <w:rFonts w:hint="eastAsia" w:ascii="仿宋_GB2312" w:hAnsi="Times New Roman" w:eastAsia="仿宋_GB2312" w:cs="Times New Roman"/>
          <w:color w:val="auto"/>
          <w:szCs w:val="24"/>
          <w:highlight w:val="none"/>
          <w:lang w:val="en-US" w:eastAsia="zh-CN" w:bidi="ar-SA"/>
        </w:rPr>
        <w:t>（七）其他评价方法。</w:t>
      </w:r>
    </w:p>
    <w:p>
      <w:pPr>
        <w:keepNext w:val="0"/>
        <w:keepLines w:val="0"/>
        <w:pageBreakBefore w:val="0"/>
        <w:widowControl w:val="0"/>
        <w:kinsoku/>
        <w:wordWrap/>
        <w:overflowPunct/>
        <w:topLinePunct w:val="0"/>
        <w:autoSpaceDE/>
        <w:autoSpaceDN/>
        <w:bidi w:val="0"/>
        <w:adjustRightInd/>
        <w:snapToGrid/>
        <w:spacing w:line="560" w:lineRule="exact"/>
        <w:ind w:firstLine="585"/>
        <w:textAlignment w:val="auto"/>
        <w:rPr>
          <w:rFonts w:ascii="Times New Roman" w:hAnsi="Times New Roman" w:eastAsia="仿宋_GB2312"/>
          <w:b/>
          <w:color w:val="auto"/>
          <w:sz w:val="28"/>
          <w:szCs w:val="28"/>
          <w:highlight w:val="none"/>
        </w:rPr>
      </w:pPr>
      <w:r>
        <w:rPr>
          <w:rFonts w:hint="eastAsia" w:ascii="Times New Roman" w:hAnsi="Times New Roman" w:eastAsia="仿宋_GB2312"/>
          <w:b/>
          <w:color w:val="auto"/>
          <w:sz w:val="28"/>
          <w:szCs w:val="28"/>
          <w:highlight w:val="none"/>
        </w:rPr>
        <w:t>文献</w:t>
      </w:r>
      <w:r>
        <w:rPr>
          <w:rFonts w:ascii="Times New Roman" w:hAnsi="Times New Roman" w:eastAsia="仿宋_GB2312"/>
          <w:b/>
          <w:color w:val="auto"/>
          <w:sz w:val="28"/>
          <w:szCs w:val="28"/>
          <w:highlight w:val="none"/>
        </w:rPr>
        <w:t>法</w:t>
      </w:r>
      <w:r>
        <w:rPr>
          <w:rFonts w:hint="eastAsia" w:ascii="Times New Roman" w:hAnsi="Times New Roman" w:eastAsia="仿宋_GB2312"/>
          <w:b/>
          <w:color w:val="auto"/>
          <w:sz w:val="28"/>
          <w:szCs w:val="28"/>
          <w:highlight w:val="none"/>
        </w:rPr>
        <w:t>：</w:t>
      </w:r>
      <w:r>
        <w:rPr>
          <w:rFonts w:ascii="Times New Roman" w:hAnsi="Times New Roman" w:eastAsia="仿宋_GB2312"/>
          <w:color w:val="auto"/>
          <w:sz w:val="28"/>
          <w:szCs w:val="28"/>
          <w:highlight w:val="none"/>
        </w:rPr>
        <w:t>通过</w:t>
      </w:r>
      <w:r>
        <w:rPr>
          <w:rFonts w:hint="eastAsia" w:ascii="Times New Roman" w:hAnsi="Times New Roman" w:eastAsia="仿宋_GB2312"/>
          <w:color w:val="auto"/>
          <w:sz w:val="28"/>
          <w:szCs w:val="28"/>
          <w:highlight w:val="none"/>
        </w:rPr>
        <w:t>检索、查阅、梳理国家、自治区、地州有关政府部门制定的劳动密集型产业发展的相关的政策文件，了解本专项资金政策内容、目标，以及上级的相关产业规划，考察本专项资金设立与国家、自治区相关战略规划是否匹配</w:t>
      </w:r>
      <w:r>
        <w:rPr>
          <w:rFonts w:ascii="Times New Roman" w:hAnsi="Times New Roman" w:eastAsia="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85"/>
        <w:textAlignment w:val="auto"/>
        <w:rPr>
          <w:rFonts w:hint="eastAsia" w:ascii="Times New Roman" w:hAnsi="Times New Roman" w:eastAsia="仿宋_GB2312"/>
          <w:b/>
          <w:color w:val="auto"/>
          <w:sz w:val="28"/>
          <w:szCs w:val="28"/>
          <w:highlight w:val="none"/>
        </w:rPr>
      </w:pPr>
      <w:r>
        <w:rPr>
          <w:rFonts w:hint="eastAsia" w:ascii="Times New Roman" w:hAnsi="Times New Roman" w:eastAsia="仿宋_GB2312"/>
          <w:b/>
          <w:bCs/>
          <w:color w:val="auto"/>
          <w:sz w:val="28"/>
          <w:szCs w:val="28"/>
          <w:highlight w:val="none"/>
        </w:rPr>
        <w:t>材料核实法：</w:t>
      </w:r>
      <w:r>
        <w:rPr>
          <w:rFonts w:hint="eastAsia" w:ascii="Times New Roman" w:hAnsi="Times New Roman" w:eastAsia="仿宋_GB2312"/>
          <w:bCs/>
          <w:color w:val="auto"/>
          <w:sz w:val="28"/>
          <w:szCs w:val="28"/>
          <w:highlight w:val="none"/>
        </w:rPr>
        <w:t>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为了更加客观的对</w:t>
      </w:r>
      <w:r>
        <w:rPr>
          <w:rFonts w:hint="eastAsia" w:ascii="仿宋_GB2312" w:hAnsi="Times New Roman" w:eastAsia="仿宋_GB2312" w:cs="Times New Roman"/>
          <w:color w:val="auto"/>
          <w:szCs w:val="24"/>
          <w:highlight w:val="none"/>
          <w:lang w:val="en-US" w:eastAsia="zh-CN" w:bidi="ar-SA"/>
        </w:rPr>
        <w:t>城乡居民养老保险财政补贴</w:t>
      </w:r>
      <w:r>
        <w:rPr>
          <w:rFonts w:ascii="仿宋_GB2312" w:hAnsi="Times New Roman" w:eastAsia="仿宋_GB2312" w:cs="Times New Roman"/>
          <w:color w:val="auto"/>
          <w:szCs w:val="24"/>
          <w:highlight w:val="none"/>
          <w:lang w:val="en-US" w:eastAsia="zh-CN" w:bidi="ar-SA"/>
        </w:rPr>
        <w:t>进行评价，评价组</w:t>
      </w:r>
      <w:r>
        <w:rPr>
          <w:rFonts w:hint="eastAsia" w:ascii="仿宋_GB2312" w:hAnsi="Times New Roman" w:eastAsia="仿宋_GB2312" w:cs="Times New Roman"/>
          <w:color w:val="auto"/>
          <w:szCs w:val="24"/>
          <w:highlight w:val="none"/>
          <w:lang w:val="en-US" w:eastAsia="zh-CN" w:bidi="ar-SA"/>
        </w:rPr>
        <w:t>对享受补助的居民进行电话咨询，对比分析，</w:t>
      </w:r>
      <w:r>
        <w:rPr>
          <w:rFonts w:ascii="仿宋_GB2312" w:hAnsi="Times New Roman" w:eastAsia="仿宋_GB2312" w:cs="Times New Roman"/>
          <w:color w:val="auto"/>
          <w:szCs w:val="24"/>
          <w:highlight w:val="none"/>
          <w:lang w:val="en-US" w:eastAsia="zh-CN" w:bidi="ar-SA"/>
        </w:rPr>
        <w:t>有效推进项目的</w:t>
      </w:r>
      <w:r>
        <w:rPr>
          <w:rFonts w:hint="eastAsia" w:ascii="仿宋_GB2312" w:hAnsi="Times New Roman" w:eastAsia="仿宋_GB2312" w:cs="Times New Roman"/>
          <w:color w:val="auto"/>
          <w:szCs w:val="24"/>
          <w:highlight w:val="none"/>
          <w:lang w:val="en-US" w:eastAsia="zh-CN" w:bidi="ar-SA"/>
        </w:rPr>
        <w:t>开展</w:t>
      </w:r>
      <w:r>
        <w:rPr>
          <w:rFonts w:ascii="仿宋_GB2312" w:hAnsi="Times New Roman" w:eastAsia="仿宋_GB2312" w:cs="Times New Roman"/>
          <w:color w:val="auto"/>
          <w:szCs w:val="24"/>
          <w:highlight w:val="none"/>
          <w:lang w:val="en-US" w:eastAsia="zh-CN" w:bidi="ar-SA"/>
        </w:rPr>
        <w:t>进程，可以达到预期的经济产出目标，项目的实施能够产生社会效益。</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420"/>
        <w:textAlignment w:val="auto"/>
        <w:rPr>
          <w:rFonts w:hint="eastAsia" w:ascii="仿宋_GB2312" w:hAnsi="Times New Roman" w:eastAsia="仿宋_GB2312"/>
          <w:color w:val="auto"/>
          <w:sz w:val="30"/>
          <w:szCs w:val="24"/>
          <w:highlight w:val="none"/>
        </w:rPr>
      </w:pPr>
      <w:r>
        <w:rPr>
          <w:rFonts w:hint="eastAsia" w:ascii="Times New Roman" w:hAnsi="Times New Roman" w:eastAsia="仿宋_GB2312"/>
          <w:bCs/>
          <w:color w:val="auto"/>
          <w:sz w:val="28"/>
          <w:szCs w:val="28"/>
          <w:highlight w:val="none"/>
        </w:rPr>
        <w:t>绩效</w:t>
      </w:r>
      <w:r>
        <w:rPr>
          <w:rFonts w:hint="eastAsia" w:ascii="仿宋_GB2312" w:hAnsi="Times New Roman" w:eastAsia="仿宋_GB2312"/>
          <w:color w:val="auto"/>
          <w:sz w:val="30"/>
          <w:szCs w:val="24"/>
          <w:highlight w:val="none"/>
        </w:rPr>
        <w:t>评价标准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绩效评价标准通常包括计划标准、行业标准、历史标准等，用于对绩效指标完成情况进行比较。</w:t>
      </w:r>
    </w:p>
    <w:p>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（四）财政部门和预算部门确认或认可的其他标准。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zh-CN" w:eastAsia="zh-CN"/>
        </w:rPr>
        <w:t>城乡居民养老保险财政补贴，</w:t>
      </w:r>
      <w:r>
        <w:rPr>
          <w:rFonts w:hint="eastAsia" w:ascii="仿宋_GB2312" w:hAnsi="Times New Roman" w:eastAsia="仿宋_GB2312"/>
          <w:color w:val="auto"/>
          <w:sz w:val="30"/>
          <w:szCs w:val="24"/>
          <w:highlight w:val="none"/>
        </w:rPr>
        <w:t>属于对已有延续性项目，有相应的行业标准和历史标准，故采用按照历史标准评价该项目。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bookmarkStart w:id="7" w:name="bookmark78"/>
      <w:r>
        <w:rPr>
          <w:rFonts w:hint="eastAsia" w:ascii="仿宋_GB2312" w:hAnsi="Times New Roman" w:eastAsia="仿宋_GB2312"/>
          <w:color w:val="auto"/>
          <w:sz w:val="30"/>
          <w:szCs w:val="24"/>
          <w:highlight w:val="none"/>
        </w:rPr>
        <w:t>1</w:t>
      </w:r>
      <w:bookmarkEnd w:id="7"/>
      <w:r>
        <w:rPr>
          <w:rFonts w:hint="eastAsia" w:ascii="仿宋_GB2312" w:hAnsi="Times New Roman" w:eastAsia="仿宋_GB2312"/>
          <w:color w:val="auto"/>
          <w:sz w:val="30"/>
          <w:szCs w:val="24"/>
          <w:highlight w:val="none"/>
        </w:rPr>
        <w:t>、前期准备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201</w:t>
      </w:r>
      <w:r>
        <w:rPr>
          <w:rFonts w:hint="eastAsia" w:ascii="仿宋_GB2312" w:hAnsi="Times New Roman" w:eastAsia="仿宋_GB2312"/>
          <w:color w:val="auto"/>
          <w:sz w:val="30"/>
          <w:szCs w:val="24"/>
          <w:highlight w:val="none"/>
          <w:lang w:val="en-US" w:eastAsia="zh-CN"/>
        </w:rPr>
        <w:t>8</w:t>
      </w:r>
      <w:r>
        <w:rPr>
          <w:rFonts w:hint="eastAsia" w:ascii="仿宋_GB2312" w:hAnsi="Times New Roman" w:eastAsia="仿宋_GB2312"/>
          <w:color w:val="auto"/>
          <w:sz w:val="30"/>
          <w:szCs w:val="24"/>
          <w:highlight w:val="none"/>
        </w:rPr>
        <w:t>年11月</w:t>
      </w:r>
      <w:r>
        <w:rPr>
          <w:rFonts w:hint="eastAsia" w:ascii="仿宋_GB2312" w:eastAsia="仿宋_GB2312"/>
          <w:color w:val="auto"/>
          <w:sz w:val="30"/>
          <w:szCs w:val="24"/>
          <w:highlight w:val="none"/>
          <w:lang w:val="en-US" w:eastAsia="zh-CN"/>
        </w:rPr>
        <w:t>20</w:t>
      </w:r>
      <w:r>
        <w:rPr>
          <w:rFonts w:hint="eastAsia" w:ascii="仿宋_GB2312" w:hAnsi="Times New Roman" w:eastAsia="仿宋_GB2312"/>
          <w:color w:val="auto"/>
          <w:sz w:val="30"/>
          <w:szCs w:val="24"/>
          <w:highlight w:val="none"/>
        </w:rPr>
        <w:t>,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bookmarkStart w:id="8" w:name="bookmark79"/>
      <w:r>
        <w:rPr>
          <w:rFonts w:hint="eastAsia" w:ascii="仿宋_GB2312" w:hAnsi="Times New Roman" w:eastAsia="仿宋_GB2312"/>
          <w:color w:val="auto"/>
          <w:sz w:val="30"/>
          <w:szCs w:val="24"/>
          <w:highlight w:val="none"/>
        </w:rPr>
        <w:t>2</w:t>
      </w:r>
      <w:bookmarkEnd w:id="8"/>
      <w:r>
        <w:rPr>
          <w:rFonts w:hint="eastAsia" w:ascii="仿宋_GB2312" w:hAnsi="Times New Roman" w:eastAsia="仿宋_GB2312"/>
          <w:color w:val="auto"/>
          <w:sz w:val="30"/>
          <w:szCs w:val="24"/>
          <w:highlight w:val="none"/>
        </w:rPr>
        <w:t>、组织实施</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lang w:val="zh-CN"/>
        </w:rPr>
        <w:t>201</w:t>
      </w:r>
      <w:r>
        <w:rPr>
          <w:rFonts w:hint="eastAsia" w:ascii="仿宋_GB2312" w:hAnsi="Times New Roman" w:eastAsia="仿宋_GB2312"/>
          <w:color w:val="auto"/>
          <w:sz w:val="30"/>
          <w:szCs w:val="24"/>
          <w:highlight w:val="none"/>
          <w:lang w:val="en-US" w:eastAsia="zh-CN"/>
        </w:rPr>
        <w:t>8</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zh-CN"/>
        </w:rPr>
        <w:t>11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2</w:t>
      </w:r>
      <w:r>
        <w:rPr>
          <w:rFonts w:hint="eastAsia" w:ascii="仿宋_GB2312" w:eastAsia="仿宋_GB2312"/>
          <w:color w:val="auto"/>
          <w:sz w:val="30"/>
          <w:szCs w:val="24"/>
          <w:highlight w:val="none"/>
          <w:lang w:val="en-US" w:eastAsia="zh-CN"/>
        </w:rPr>
        <w:t>0</w:t>
      </w:r>
      <w:r>
        <w:rPr>
          <w:rFonts w:hint="eastAsia" w:ascii="仿宋_GB2312" w:hAnsi="Times New Roman" w:eastAsia="仿宋_GB2312"/>
          <w:color w:val="auto"/>
          <w:sz w:val="30"/>
          <w:szCs w:val="24"/>
          <w:highlight w:val="none"/>
        </w:rPr>
        <w:t>日-</w:t>
      </w:r>
      <w:r>
        <w:rPr>
          <w:rFonts w:hint="eastAsia" w:ascii="仿宋_GB2312" w:hAnsi="Times New Roman" w:eastAsia="仿宋_GB2312"/>
          <w:color w:val="auto"/>
          <w:sz w:val="30"/>
          <w:szCs w:val="24"/>
          <w:highlight w:val="none"/>
          <w:lang w:val="zh-CN"/>
        </w:rPr>
        <w:t>12</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4</w:t>
      </w:r>
      <w:r>
        <w:rPr>
          <w:rFonts w:hint="eastAsia" w:ascii="仿宋_GB2312" w:hAnsi="Times New Roman" w:eastAsia="仿宋_GB2312"/>
          <w:color w:val="auto"/>
          <w:sz w:val="30"/>
          <w:szCs w:val="24"/>
          <w:highlight w:val="none"/>
        </w:rPr>
        <w:t>日，评价工作进入</w:t>
      </w:r>
      <w:r>
        <w:rPr>
          <w:rFonts w:hint="eastAsia" w:ascii="仿宋_GB2312" w:hAnsi="Times New Roman" w:eastAsia="仿宋_GB2312"/>
          <w:color w:val="auto"/>
          <w:sz w:val="30"/>
          <w:szCs w:val="24"/>
          <w:highlight w:val="none"/>
          <w:lang w:val="en-US" w:eastAsia="zh-CN"/>
        </w:rPr>
        <w:t>预算申请审核</w:t>
      </w:r>
      <w:r>
        <w:rPr>
          <w:rFonts w:hint="eastAsia" w:ascii="仿宋_GB2312" w:hAnsi="Times New Roman" w:eastAsia="仿宋_GB2312"/>
          <w:color w:val="auto"/>
          <w:sz w:val="30"/>
          <w:szCs w:val="24"/>
          <w:highlight w:val="none"/>
        </w:rPr>
        <w:t>阶段。在数据采集方面，评价组整理单位前期提交的资料，与项目实施负责人沟通，了解资金的内容、操作流程、管理机制、资金使用方向等情况；进行信息采集，了解项目设置背景及资金使用等情况</w:t>
      </w:r>
      <w:bookmarkStart w:id="9" w:name="bookmark80"/>
      <w:r>
        <w:rPr>
          <w:rFonts w:hint="eastAsia" w:ascii="仿宋_GB2312" w:hAnsi="Times New Roman" w:eastAsia="仿宋_GB2312"/>
          <w:color w:val="auto"/>
          <w:sz w:val="30"/>
          <w:szCs w:val="24"/>
          <w:highlight w:val="none"/>
        </w:rPr>
        <w:t>。</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3、分析评价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en-US" w:eastAsia="zh-CN"/>
        </w:rPr>
        <w:t>2020</w:t>
      </w:r>
      <w:r>
        <w:rPr>
          <w:rFonts w:hint="eastAsia" w:ascii="仿宋_GB2312" w:hAnsi="Times New Roman" w:eastAsia="仿宋_GB2312"/>
          <w:color w:val="auto"/>
          <w:sz w:val="30"/>
          <w:szCs w:val="24"/>
          <w:highlight w:val="none"/>
        </w:rPr>
        <w:t>年</w:t>
      </w:r>
      <w:r>
        <w:rPr>
          <w:rFonts w:hint="eastAsia" w:ascii="仿宋_GB2312" w:hAnsi="Times New Roman" w:eastAsia="仿宋_GB2312"/>
          <w:color w:val="auto"/>
          <w:sz w:val="30"/>
          <w:szCs w:val="24"/>
          <w:highlight w:val="none"/>
          <w:lang w:val="en-US" w:eastAsia="zh-CN"/>
        </w:rPr>
        <w:t>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en-US" w:eastAsia="zh-CN"/>
        </w:rPr>
        <w:t>06</w:t>
      </w:r>
      <w:r>
        <w:rPr>
          <w:rFonts w:hint="eastAsia" w:ascii="仿宋_GB2312" w:hAnsi="Times New Roman" w:eastAsia="仿宋_GB2312"/>
          <w:color w:val="auto"/>
          <w:sz w:val="30"/>
          <w:szCs w:val="24"/>
          <w:highlight w:val="none"/>
        </w:rPr>
        <w:t>-</w:t>
      </w:r>
      <w:r>
        <w:rPr>
          <w:rFonts w:hint="eastAsia" w:ascii="仿宋_GB2312" w:hAnsi="Times New Roman" w:eastAsia="仿宋_GB2312"/>
          <w:color w:val="auto"/>
          <w:sz w:val="30"/>
          <w:szCs w:val="24"/>
          <w:highlight w:val="none"/>
          <w:lang w:val="en-US" w:eastAsia="zh-CN"/>
        </w:rPr>
        <w:t>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en-US" w:eastAsia="zh-CN"/>
        </w:rPr>
        <w:t>20</w:t>
      </w:r>
      <w:r>
        <w:rPr>
          <w:rFonts w:hint="eastAsia" w:ascii="仿宋_GB2312" w:hAnsi="Times New Roman" w:eastAsia="仿宋_GB2312"/>
          <w:color w:val="auto"/>
          <w:sz w:val="30"/>
          <w:szCs w:val="24"/>
          <w:highlight w:val="none"/>
        </w:rPr>
        <w:t>日，评价组按照绩效评价的原则和规范，对取得的资料进行审查核实，对采集的数据进行分析，按照绩效评价指标评分表逐项进行打分、分析，汇总各方评价结果，综合分析并形成评价结论。</w:t>
      </w:r>
    </w:p>
    <w:bookmarkEnd w:id="11"/>
    <w:p>
      <w:pPr>
        <w:spacing w:line="600" w:lineRule="exact"/>
        <w:ind w:firstLine="600" w:firstLineChars="200"/>
        <w:rPr>
          <w:rFonts w:ascii="仿宋_GB2312" w:hAnsi="Times New Roman" w:eastAsia="仿宋_GB2312"/>
          <w:color w:val="auto"/>
          <w:sz w:val="30"/>
          <w:szCs w:val="24"/>
          <w:highlight w:val="none"/>
        </w:rPr>
      </w:pPr>
      <w:r>
        <w:rPr>
          <w:rFonts w:hint="eastAsia" w:ascii="黑体" w:hAnsi="黑体" w:eastAsia="黑体"/>
          <w:color w:val="auto"/>
          <w:sz w:val="30"/>
          <w:szCs w:val="24"/>
          <w:highlight w:val="none"/>
        </w:rPr>
        <w:t>三、综合评价情况及评价结论</w:t>
      </w:r>
    </w:p>
    <w:p>
      <w:pPr>
        <w:pStyle w:val="6"/>
        <w:spacing w:line="600" w:lineRule="exact"/>
        <w:rPr>
          <w:rFonts w:hint="eastAsia"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（一）综合评价情况</w:t>
      </w:r>
    </w:p>
    <w:p>
      <w:pPr>
        <w:pStyle w:val="6"/>
        <w:spacing w:line="600" w:lineRule="exact"/>
        <w:ind w:firstLine="600" w:firstLineChars="200"/>
        <w:rPr>
          <w:rFonts w:hint="eastAsia" w:ascii="仿宋_GB2312" w:hAnsi="Times New Roman" w:eastAsia="仿宋_GB2312" w:cs="Times New Roman"/>
          <w:b/>
          <w:color w:val="auto"/>
          <w:szCs w:val="24"/>
          <w:highlight w:val="none"/>
          <w:lang w:val="zh-CN" w:eastAsia="zh-CN" w:bidi="ar-SA"/>
        </w:rPr>
      </w:pPr>
      <w:r>
        <w:rPr>
          <w:rFonts w:hint="eastAsia" w:ascii="仿宋_GB2312" w:hAnsi="Times New Roman" w:eastAsia="仿宋_GB2312" w:cs="Times New Roman"/>
          <w:color w:val="auto"/>
          <w:szCs w:val="24"/>
          <w:highlight w:val="none"/>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乌尔禾区人社局</w:t>
      </w:r>
      <w:r>
        <w:rPr>
          <w:rStyle w:val="4"/>
          <w:rFonts w:hint="eastAsia" w:ascii="仿宋_GB2312" w:hAnsi="仿宋_GB2312" w:eastAsia="仿宋_GB2312" w:cs="仿宋_GB2312"/>
          <w:b w:val="0"/>
          <w:color w:val="auto"/>
          <w:spacing w:val="-4"/>
          <w:sz w:val="32"/>
          <w:szCs w:val="32"/>
          <w:highlight w:val="none"/>
          <w:lang w:eastAsia="zh-CN"/>
        </w:rPr>
        <w:t>城乡居民养老保险财政补贴</w:t>
      </w:r>
      <w:r>
        <w:rPr>
          <w:rFonts w:hint="eastAsia" w:ascii="仿宋_GB2312" w:hAnsi="Times New Roman" w:eastAsia="仿宋_GB2312" w:cs="Times New Roman"/>
          <w:color w:val="auto"/>
          <w:szCs w:val="24"/>
          <w:highlight w:val="none"/>
          <w:lang w:val="en-US" w:eastAsia="zh-CN" w:bidi="ar-SA"/>
        </w:rPr>
        <w:t>项目综合得分为98分。</w:t>
      </w:r>
    </w:p>
    <w:p>
      <w:pPr>
        <w:pStyle w:val="6"/>
        <w:shd w:val="clear" w:color="auto" w:fill="auto"/>
        <w:spacing w:line="600" w:lineRule="exact"/>
        <w:ind w:firstLine="548" w:firstLineChars="182"/>
        <w:rPr>
          <w:rFonts w:hint="eastAsia"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zh-CN" w:eastAsia="zh-CN" w:bidi="ar-SA"/>
        </w:rPr>
        <w:t>2019</w:t>
      </w:r>
      <w:r>
        <w:rPr>
          <w:rFonts w:hint="eastAsia" w:ascii="仿宋_GB2312" w:hAnsi="Times New Roman" w:eastAsia="仿宋_GB2312" w:cs="Times New Roman"/>
          <w:b/>
          <w:color w:val="auto"/>
          <w:szCs w:val="24"/>
          <w:highlight w:val="none"/>
          <w:lang w:val="en-US" w:eastAsia="zh-CN" w:bidi="ar-SA"/>
        </w:rPr>
        <w:t>年乌尔禾区</w:t>
      </w:r>
      <w:r>
        <w:rPr>
          <w:rFonts w:hint="eastAsia" w:ascii="仿宋_GB2312" w:hAnsi="Times New Roman" w:eastAsia="仿宋_GB2312" w:cs="Times New Roman"/>
          <w:b/>
          <w:color w:val="auto"/>
          <w:szCs w:val="24"/>
          <w:highlight w:val="none"/>
          <w:lang w:val="zh-CN" w:eastAsia="zh-CN" w:bidi="ar-SA"/>
        </w:rPr>
        <w:t>城乡居民养老保险财政补贴</w:t>
      </w:r>
      <w:r>
        <w:rPr>
          <w:rFonts w:hint="eastAsia" w:ascii="仿宋_GB2312" w:hAnsi="Times New Roman" w:eastAsia="仿宋_GB2312" w:cs="Times New Roman"/>
          <w:b/>
          <w:color w:val="auto"/>
          <w:szCs w:val="24"/>
          <w:highlight w:val="none"/>
          <w:lang w:val="en-US" w:eastAsia="zh-CN" w:bidi="ar-SA"/>
        </w:rPr>
        <w:t>资金评价得分情况</w:t>
      </w:r>
    </w:p>
    <w:tbl>
      <w:tblPr>
        <w:tblStyle w:val="2"/>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指标类别</w:t>
            </w:r>
          </w:p>
        </w:tc>
        <w:tc>
          <w:tcPr>
            <w:tcW w:w="2045"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分值</w:t>
            </w:r>
          </w:p>
        </w:tc>
        <w:tc>
          <w:tcPr>
            <w:tcW w:w="1951"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备注</w:t>
            </w:r>
          </w:p>
        </w:tc>
      </w:tr>
      <w:tr>
        <w:tblPrEx>
          <w:tblCellMar>
            <w:top w:w="0" w:type="dxa"/>
            <w:left w:w="10" w:type="dxa"/>
            <w:bottom w:w="0" w:type="dxa"/>
            <w:right w:w="10" w:type="dxa"/>
          </w:tblCellMar>
        </w:tblPrEx>
        <w:trPr>
          <w:trHeight w:val="950" w:hRule="exact"/>
          <w:jc w:val="center"/>
        </w:trPr>
        <w:tc>
          <w:tcPr>
            <w:tcW w:w="1447"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决策</w:t>
            </w:r>
          </w:p>
        </w:tc>
        <w:tc>
          <w:tcPr>
            <w:tcW w:w="2045"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1951"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noWrap w:val="0"/>
            <w:vAlign w:val="top"/>
          </w:tcPr>
          <w:p>
            <w:pPr>
              <w:spacing w:line="310" w:lineRule="exact"/>
              <w:ind w:firstLine="0"/>
              <w:jc w:val="both"/>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目标均执行完成</w:t>
            </w:r>
          </w:p>
        </w:tc>
      </w:tr>
      <w:tr>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noWrap w:val="0"/>
            <w:vAlign w:val="center"/>
          </w:tcPr>
          <w:p>
            <w:pPr>
              <w:pStyle w:val="7"/>
              <w:spacing w:line="240" w:lineRule="auto"/>
              <w:ind w:firstLine="380"/>
              <w:jc w:val="left"/>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过程</w:t>
            </w:r>
          </w:p>
        </w:tc>
        <w:tc>
          <w:tcPr>
            <w:tcW w:w="2045"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1951"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3866" w:type="dxa"/>
            <w:tcBorders>
              <w:top w:val="single" w:color="auto" w:sz="4" w:space="0"/>
              <w:left w:val="single" w:color="auto" w:sz="4" w:space="0"/>
              <w:right w:val="single" w:color="auto" w:sz="4" w:space="0"/>
            </w:tcBorders>
            <w:shd w:val="clear" w:color="auto" w:fill="FFFFFF"/>
            <w:noWrap w:val="0"/>
            <w:vAlign w:val="bottom"/>
          </w:tcPr>
          <w:p>
            <w:pPr>
              <w:spacing w:line="310" w:lineRule="exact"/>
              <w:ind w:firstLine="0"/>
              <w:jc w:val="both"/>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目标均执行完成</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产出</w:t>
            </w:r>
          </w:p>
        </w:tc>
        <w:tc>
          <w:tcPr>
            <w:tcW w:w="2045"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7"/>
              <w:spacing w:line="240" w:lineRule="auto"/>
              <w:ind w:firstLine="0"/>
              <w:jc w:val="both"/>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目标均执行完成</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7"/>
              <w:spacing w:line="240" w:lineRule="auto"/>
              <w:ind w:firstLine="0"/>
              <w:jc w:val="center"/>
              <w:rPr>
                <w:rFonts w:hint="default"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28</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jc w:val="both"/>
              <w:rPr>
                <w:rFonts w:hint="eastAsia" w:ascii="仿宋_GB2312" w:hAnsi="Times New Roman" w:eastAsia="仿宋_GB2312"/>
                <w:color w:val="auto"/>
                <w:sz w:val="30"/>
                <w:szCs w:val="24"/>
                <w:highlight w:val="none"/>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未能达到最初的效益，扣2分。</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7"/>
              <w:spacing w:line="240" w:lineRule="auto"/>
              <w:ind w:firstLine="0"/>
              <w:jc w:val="center"/>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7"/>
              <w:spacing w:line="240" w:lineRule="auto"/>
              <w:ind w:firstLine="0"/>
              <w:jc w:val="center"/>
              <w:rPr>
                <w:rFonts w:hint="default" w:ascii="仿宋_GB2312" w:hAnsi="Times New Roman" w:eastAsia="仿宋_GB2312" w:cs="Times New Roman"/>
                <w:color w:val="auto"/>
                <w:kern w:val="2"/>
                <w:sz w:val="30"/>
                <w:szCs w:val="24"/>
                <w:highlight w:val="none"/>
                <w:u w:val="none"/>
                <w:shd w:val="clear" w:color="auto" w:fill="auto"/>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98</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jc w:val="both"/>
              <w:rPr>
                <w:rFonts w:hint="eastAsia" w:ascii="仿宋_GB2312" w:hAnsi="Times New Roman" w:eastAsia="仿宋_GB2312" w:cs="Times New Roman"/>
                <w:color w:val="auto"/>
                <w:kern w:val="2"/>
                <w:sz w:val="30"/>
                <w:szCs w:val="24"/>
                <w:highlight w:val="none"/>
                <w:u w:val="none"/>
                <w:shd w:val="clear" w:color="auto" w:fill="auto"/>
                <w:lang w:val="en-US" w:eastAsia="zh-CN" w:bidi="ar-SA"/>
              </w:rPr>
            </w:pPr>
            <w:r>
              <w:rPr>
                <w:rFonts w:hint="eastAsia" w:ascii="仿宋_GB2312" w:hAnsi="Times New Roman" w:eastAsia="仿宋_GB2312" w:cs="Times New Roman"/>
                <w:color w:val="auto"/>
                <w:kern w:val="2"/>
                <w:sz w:val="30"/>
                <w:szCs w:val="24"/>
                <w:highlight w:val="none"/>
                <w:u w:val="none"/>
                <w:shd w:val="clear" w:color="auto" w:fill="auto"/>
                <w:lang w:val="en-US" w:eastAsia="zh-CN" w:bidi="ar-SA"/>
              </w:rPr>
              <w:t>目标均执行完成</w:t>
            </w:r>
          </w:p>
        </w:tc>
      </w:tr>
    </w:tbl>
    <w:p>
      <w:pPr>
        <w:pStyle w:val="6"/>
        <w:spacing w:line="598" w:lineRule="exact"/>
        <w:ind w:firstLine="700"/>
        <w:rPr>
          <w:rFonts w:hint="eastAsia"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(二)评价结论</w:t>
      </w:r>
    </w:p>
    <w:p>
      <w:pPr>
        <w:pStyle w:val="6"/>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乌尔禾区人社局</w:t>
      </w:r>
      <w:r>
        <w:rPr>
          <w:rStyle w:val="4"/>
          <w:rFonts w:hint="eastAsia" w:ascii="仿宋_GB2312" w:hAnsi="仿宋_GB2312" w:eastAsia="仿宋_GB2312" w:cs="仿宋_GB2312"/>
          <w:b w:val="0"/>
          <w:color w:val="auto"/>
          <w:spacing w:val="-4"/>
          <w:sz w:val="32"/>
          <w:szCs w:val="32"/>
          <w:highlight w:val="none"/>
          <w:lang w:eastAsia="zh-CN"/>
        </w:rPr>
        <w:t>城乡居民养老保险财政补贴</w:t>
      </w:r>
      <w:r>
        <w:rPr>
          <w:rFonts w:hint="eastAsia" w:ascii="仿宋_GB2312" w:hAnsi="Times New Roman" w:eastAsia="仿宋_GB2312" w:cs="Times New Roman"/>
          <w:color w:val="auto"/>
          <w:szCs w:val="24"/>
          <w:highlight w:val="none"/>
          <w:lang w:val="en-US" w:eastAsia="zh-CN" w:bidi="ar-SA"/>
        </w:rPr>
        <w:t>项目达到了年初设立的绩效目标，在实施过程中取得了良好的成效，具体表现在以下：</w:t>
      </w:r>
    </w:p>
    <w:p>
      <w:pPr>
        <w:pStyle w:val="6"/>
        <w:shd w:val="clear" w:color="auto" w:fill="auto"/>
        <w:spacing w:line="598" w:lineRule="exact"/>
        <w:ind w:firstLine="7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对辖区城乡居民参保城乡居民基本养老保险缴费按一定比例进行筹资补助，提供有力支持，从而进一步完善辖区城乡居民基本养老体系，涉及范围是本地居民。</w:t>
      </w:r>
    </w:p>
    <w:p>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四、绩效评价指标分析</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（一）项目决策情况</w:t>
      </w:r>
    </w:p>
    <w:p>
      <w:pPr>
        <w:pStyle w:val="6"/>
        <w:tabs>
          <w:tab w:val="left" w:pos="1527"/>
        </w:tabs>
        <w:spacing w:line="418" w:lineRule="auto"/>
        <w:ind w:firstLine="600" w:firstLineChars="200"/>
        <w:rPr>
          <w:rFonts w:hint="eastAsia" w:ascii="仿宋_GB2312" w:hAnsi="Times New Roman" w:eastAsia="仿宋_GB2312" w:cs="Times New Roman"/>
          <w:color w:val="auto"/>
          <w:szCs w:val="24"/>
          <w:highlight w:val="none"/>
          <w:shd w:val="clear" w:color="auto" w:fill="auto"/>
          <w:lang w:val="en-US" w:eastAsia="zh-CN" w:bidi="ar-SA"/>
        </w:rPr>
      </w:pPr>
      <w:r>
        <w:rPr>
          <w:rFonts w:hint="eastAsia" w:ascii="仿宋_GB2312" w:hAnsi="Times New Roman" w:eastAsia="仿宋_GB2312" w:cs="Times New Roman"/>
          <w:color w:val="auto"/>
          <w:szCs w:val="24"/>
          <w:highlight w:val="none"/>
          <w:shd w:val="clear" w:color="auto" w:fill="auto"/>
          <w:lang w:val="en-US" w:eastAsia="zh-CN" w:bidi="ar-SA"/>
        </w:rPr>
        <w:t>该项目申请、设立过程符合相关要求；项目所设定的绩效目标依据充分，符合客观实际；绩效指标清晰、细化、可衡量；</w:t>
      </w:r>
    </w:p>
    <w:p>
      <w:pPr>
        <w:pStyle w:val="6"/>
        <w:tabs>
          <w:tab w:val="left" w:pos="1527"/>
        </w:tabs>
        <w:spacing w:line="418" w:lineRule="auto"/>
        <w:ind w:firstLine="600" w:firstLineChars="200"/>
        <w:rPr>
          <w:rFonts w:hint="eastAsia" w:ascii="仿宋_GB2312" w:hAnsi="Times New Roman" w:eastAsia="仿宋_GB2312" w:cs="Times New Roman"/>
          <w:color w:val="auto"/>
          <w:szCs w:val="24"/>
          <w:highlight w:val="none"/>
          <w:shd w:val="clear" w:color="auto" w:fill="auto"/>
          <w:lang w:val="en-US" w:eastAsia="zh-CN" w:bidi="ar-SA"/>
        </w:rPr>
      </w:pPr>
      <w:r>
        <w:rPr>
          <w:rFonts w:hint="eastAsia" w:ascii="仿宋_GB2312" w:hAnsi="Times New Roman" w:eastAsia="仿宋_GB2312" w:cs="Times New Roman"/>
          <w:color w:val="auto"/>
          <w:szCs w:val="24"/>
          <w:highlight w:val="none"/>
          <w:shd w:val="clear" w:color="auto" w:fill="auto"/>
          <w:lang w:val="en-US" w:eastAsia="zh-CN" w:bidi="ar-SA"/>
        </w:rPr>
        <w:t>项目预算编制经过科学论证、有明确标准，资金额度与年度目标相适应；项目预算资金分配有测算依据。</w:t>
      </w:r>
    </w:p>
    <w:p>
      <w:pPr>
        <w:pStyle w:val="6"/>
        <w:tabs>
          <w:tab w:val="left" w:pos="1527"/>
        </w:tabs>
        <w:spacing w:line="418" w:lineRule="auto"/>
        <w:ind w:firstLine="600" w:firstLineChars="20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本次评价认为；该项目符合项目立项，项目绩效目标设置、资金投入等方面相关规定。</w:t>
      </w:r>
    </w:p>
    <w:p>
      <w:pPr>
        <w:spacing w:line="600" w:lineRule="exact"/>
        <w:ind w:left="6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（二）项目过程情况</w:t>
      </w:r>
    </w:p>
    <w:p>
      <w:pPr>
        <w:pStyle w:val="6"/>
        <w:tabs>
          <w:tab w:val="left" w:pos="1152"/>
        </w:tabs>
        <w:spacing w:line="418" w:lineRule="auto"/>
        <w:ind w:firstLine="68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w:t>
      </w:r>
      <w:r>
        <w:rPr>
          <w:rFonts w:ascii="仿宋_GB2312" w:hAnsi="Times New Roman" w:eastAsia="仿宋_GB2312" w:cs="Times New Roman"/>
          <w:color w:val="auto"/>
          <w:szCs w:val="24"/>
          <w:highlight w:val="none"/>
          <w:lang w:val="en-US" w:eastAsia="zh-CN" w:bidi="ar-SA"/>
        </w:rPr>
        <w:t>项目组织情况分析</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该项目在实施阶段均制定了具体的组织实施文件（申报指南、评审办法、立项文件等），各个立项项目均经过项目申报、项目评审、项目立项、资金拨付、项目验收等流程。其中项目申报环节以文件的形式下发申报指南，明确资金支付范围和重点、支持条件、组织方式和申报要求。项目评审环节严格执行相关考评办法，通过制定专家评审手册等文件，明确评审及现场考察工作程序及要求。</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本次评价认为：该项目组织机构设置合理，项目均按照流程执行，中期有检查，后期有验收。</w:t>
      </w:r>
    </w:p>
    <w:p>
      <w:pPr>
        <w:pStyle w:val="6"/>
        <w:spacing w:after="40" w:line="601" w:lineRule="exact"/>
        <w:ind w:firstLine="660"/>
        <w:rPr>
          <w:rFonts w:hint="eastAsia"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w:t>
      </w:r>
      <w:r>
        <w:rPr>
          <w:rFonts w:ascii="仿宋_GB2312" w:hAnsi="Times New Roman" w:eastAsia="仿宋_GB2312" w:cs="Times New Roman"/>
          <w:color w:val="auto"/>
          <w:szCs w:val="24"/>
          <w:highlight w:val="none"/>
          <w:lang w:val="en-US" w:eastAsia="zh-CN" w:bidi="ar-SA"/>
        </w:rPr>
        <w:t>项目管理情况分析</w:t>
      </w:r>
    </w:p>
    <w:p>
      <w:pPr>
        <w:pStyle w:val="6"/>
        <w:spacing w:after="40" w:line="601" w:lineRule="exact"/>
        <w:ind w:firstLine="660"/>
        <w:rPr>
          <w:rFonts w:hint="eastAsia"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该项目制定了较为全面的管理制度，</w:t>
      </w:r>
      <w:r>
        <w:rPr>
          <w:rFonts w:hint="eastAsia" w:ascii="仿宋_GB2312" w:hAnsi="Times New Roman" w:eastAsia="仿宋_GB2312" w:cs="Times New Roman"/>
          <w:color w:val="auto"/>
          <w:szCs w:val="24"/>
          <w:highlight w:val="none"/>
          <w:lang w:val="en-US" w:eastAsia="zh-CN" w:bidi="ar-SA"/>
        </w:rPr>
        <w:t>项目</w:t>
      </w:r>
      <w:r>
        <w:rPr>
          <w:rFonts w:ascii="仿宋_GB2312" w:hAnsi="Times New Roman" w:eastAsia="仿宋_GB2312" w:cs="Times New Roman"/>
          <w:color w:val="auto"/>
          <w:szCs w:val="24"/>
          <w:highlight w:val="none"/>
          <w:lang w:val="en-US" w:eastAsia="zh-CN" w:bidi="ar-SA"/>
        </w:rPr>
        <w:t>主要管理制度为《</w:t>
      </w:r>
      <w:r>
        <w:rPr>
          <w:rFonts w:hint="eastAsia" w:ascii="仿宋_GB2312" w:hAnsi="Times New Roman" w:eastAsia="仿宋_GB2312" w:cs="Times New Roman"/>
          <w:color w:val="auto"/>
          <w:szCs w:val="24"/>
          <w:highlight w:val="none"/>
          <w:lang w:val="en-US" w:eastAsia="zh-CN" w:bidi="ar-SA"/>
        </w:rPr>
        <w:t>乌尔禾区</w:t>
      </w:r>
      <w:r>
        <w:rPr>
          <w:rFonts w:ascii="仿宋_GB2312" w:hAnsi="Times New Roman" w:eastAsia="仿宋_GB2312" w:cs="Times New Roman"/>
          <w:color w:val="auto"/>
          <w:szCs w:val="24"/>
          <w:highlight w:val="none"/>
          <w:lang w:val="en-US" w:eastAsia="zh-CN" w:bidi="ar-SA"/>
        </w:rPr>
        <w:t>项目管理办法》，制度文件规定了项目的组织与管理、立项与实施、跟踪与验收、监督与评价等内容；对实施项目资金的工作内容、奖励标准、控制环节作出了明确的规范要求，奖励标准的主要管理制度</w:t>
      </w:r>
      <w:r>
        <w:rPr>
          <w:rFonts w:hint="eastAsia" w:ascii="仿宋_GB2312" w:hAnsi="Times New Roman" w:eastAsia="仿宋_GB2312" w:cs="Times New Roman"/>
          <w:color w:val="auto"/>
          <w:szCs w:val="24"/>
          <w:highlight w:val="none"/>
          <w:lang w:val="en-US" w:eastAsia="zh-CN" w:bidi="ar-SA"/>
        </w:rPr>
        <w:t>等</w:t>
      </w: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《乌尔禾区全面实施预算绩效管理实施方案的通知》（《克乌党发〔2018〕32号》）</w:t>
      </w:r>
      <w:r>
        <w:rPr>
          <w:rFonts w:ascii="仿宋_GB2312" w:hAnsi="Times New Roman" w:eastAsia="仿宋_GB2312" w:cs="Times New Roman"/>
          <w:color w:val="auto"/>
          <w:szCs w:val="24"/>
          <w:highlight w:val="none"/>
          <w:lang w:val="en-US" w:eastAsia="zh-CN" w:bidi="ar-SA"/>
        </w:rPr>
        <w:t>制度文件规定了项目的监督与处罚等内容。</w:t>
      </w:r>
    </w:p>
    <w:p>
      <w:pPr>
        <w:pStyle w:val="6"/>
        <w:spacing w:after="40" w:line="601" w:lineRule="exact"/>
        <w:ind w:firstLine="660"/>
        <w:rPr>
          <w:rFonts w:hint="eastAsia" w:ascii="仿宋_GB2312" w:hAnsi="Times New Roman" w:eastAsia="仿宋_GB2312" w:cs="Times New Roman"/>
          <w:color w:val="auto"/>
          <w:szCs w:val="24"/>
          <w:highlight w:val="none"/>
        </w:rPr>
      </w:pPr>
      <w:r>
        <w:rPr>
          <w:rFonts w:ascii="仿宋_GB2312" w:hAnsi="Times New Roman" w:eastAsia="仿宋_GB2312" w:cs="Times New Roman"/>
          <w:color w:val="auto"/>
          <w:szCs w:val="24"/>
          <w:highlight w:val="none"/>
          <w:lang w:val="en-US" w:eastAsia="zh-CN" w:bidi="ar-SA"/>
        </w:rPr>
        <w:t>本次评价认为：项目政策及管理办法基本完善，做到了对每个环节进行把控。</w:t>
      </w:r>
    </w:p>
    <w:p>
      <w:pPr>
        <w:spacing w:line="600" w:lineRule="exact"/>
        <w:ind w:firstLine="624" w:firstLineChars="200"/>
        <w:outlineLvl w:val="0"/>
        <w:rPr>
          <w:rStyle w:val="4"/>
          <w:rFonts w:hint="eastAsia" w:ascii="仿宋_GB2312" w:hAnsi="仿宋_GB2312" w:eastAsia="仿宋_GB2312" w:cs="仿宋_GB2312"/>
          <w:b w:val="0"/>
          <w:color w:val="auto"/>
          <w:spacing w:val="-4"/>
          <w:sz w:val="32"/>
          <w:szCs w:val="32"/>
          <w:highlight w:val="none"/>
        </w:rPr>
      </w:pPr>
      <w:r>
        <w:rPr>
          <w:rStyle w:val="4"/>
          <w:rFonts w:hint="eastAsia" w:ascii="仿宋_GB2312" w:hAnsi="仿宋_GB2312" w:eastAsia="仿宋_GB2312" w:cs="仿宋_GB2312"/>
          <w:b w:val="0"/>
          <w:color w:val="auto"/>
          <w:spacing w:val="-4"/>
          <w:sz w:val="32"/>
          <w:szCs w:val="32"/>
          <w:highlight w:val="none"/>
        </w:rPr>
        <w:t>该项目完成全年工作任务。每个月都去社区，乌尔禾乡，向群众做国旗下的宣讲，夜校讲课并发放宣传单，全年征缴任务237人，年底征收244人，顺利通过市考核组考核。</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（三）项目产出情况</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项目产出数量、质量、时效、成本</w:t>
      </w:r>
      <w:r>
        <w:rPr>
          <w:rFonts w:hint="eastAsia" w:ascii="仿宋_GB2312" w:hAnsi="Times New Roman" w:eastAsia="仿宋_GB2312"/>
          <w:color w:val="auto"/>
          <w:sz w:val="30"/>
          <w:szCs w:val="24"/>
          <w:highlight w:val="none"/>
          <w:lang w:eastAsia="zh-CN"/>
        </w:rPr>
        <w:t>指标</w:t>
      </w:r>
      <w:r>
        <w:rPr>
          <w:rFonts w:hint="eastAsia" w:ascii="仿宋_GB2312" w:hAnsi="Times New Roman" w:eastAsia="仿宋_GB2312"/>
          <w:color w:val="auto"/>
          <w:sz w:val="30"/>
          <w:szCs w:val="24"/>
          <w:highlight w:val="none"/>
        </w:rPr>
        <w:t>完成情况如下：</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bookmarkStart w:id="10" w:name="bookmark83"/>
      <w:r>
        <w:rPr>
          <w:rFonts w:hint="eastAsia" w:ascii="仿宋_GB2312" w:hAnsi="Times New Roman" w:eastAsia="仿宋_GB2312"/>
          <w:color w:val="auto"/>
          <w:sz w:val="30"/>
          <w:szCs w:val="24"/>
          <w:highlight w:val="none"/>
        </w:rPr>
        <w:t>数量指标</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全区缴纳城乡居民基本养老保险的人数</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≥238人</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实际完成值238人</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享受居民养老待遇的人数 ≥180人</w:t>
      </w:r>
      <w:r>
        <w:rPr>
          <w:rFonts w:hint="eastAsia" w:ascii="仿宋_GB2312" w:hAnsi="Times New Roman" w:eastAsia="仿宋_GB2312"/>
          <w:color w:val="auto"/>
          <w:sz w:val="30"/>
          <w:szCs w:val="24"/>
          <w:highlight w:val="none"/>
        </w:rPr>
        <w:tab/>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实际完成值180人</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质量指标</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补贴申拨准确率≥95%</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实际完成值95%</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时效指标</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财政补贴申拨及时率≥99%</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实际完成值99%</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单笔补贴申报完成时限≤15天</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实际完成值15天</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成本指标</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一般人群缴费补贴≤1.93万元</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实际完成值1.93万元</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重残人员代缴+补贴≤1.48万元</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实际完成值1.48万元</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领取居民养老待遇财政补贴</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≤33.79万元</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实际完成值33.79万元完成率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bookmarkEnd w:id="10"/>
    <w:p>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截止2019年12月31日，根据设定数量指标已全部完成，得分8分；根据设定质量指标已全部完成，得分7分；根据设定时效指标已全部完成，得分8分；根据设定成本指标已全部完成，得分7分；项目产出情况合计得分30分。</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（四）项目效益情况</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项目经济效益、社会效益</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生态效益、可持续影响指标</w:t>
      </w:r>
      <w:r>
        <w:rPr>
          <w:rFonts w:hint="eastAsia" w:ascii="仿宋_GB2312" w:hAnsi="Times New Roman" w:eastAsia="仿宋_GB2312"/>
          <w:color w:val="auto"/>
          <w:sz w:val="30"/>
          <w:szCs w:val="24"/>
          <w:highlight w:val="none"/>
        </w:rPr>
        <w:t>完成情况如下：</w:t>
      </w:r>
    </w:p>
    <w:p>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无经济效益及生态效益</w:t>
      </w:r>
    </w:p>
    <w:p>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rPr>
        <w:t>社会效益</w:t>
      </w:r>
      <w:r>
        <w:rPr>
          <w:rFonts w:hint="eastAsia" w:ascii="仿宋_GB2312" w:hAnsi="Times New Roman" w:eastAsia="仿宋_GB2312"/>
          <w:color w:val="auto"/>
          <w:sz w:val="30"/>
          <w:szCs w:val="24"/>
          <w:highlight w:val="none"/>
          <w:lang w:eastAsia="zh-CN"/>
        </w:rPr>
        <w:t>：</w:t>
      </w:r>
      <w:r>
        <w:rPr>
          <w:rFonts w:hint="eastAsia" w:ascii="仿宋_GB2312" w:eastAsia="仿宋_GB2312"/>
          <w:color w:val="auto"/>
          <w:sz w:val="30"/>
          <w:szCs w:val="24"/>
          <w:highlight w:val="none"/>
          <w:lang w:eastAsia="zh-CN"/>
        </w:rPr>
        <w:t>提高居民的生活水平</w:t>
      </w:r>
      <w:r>
        <w:rPr>
          <w:rFonts w:hint="eastAsia" w:ascii="仿宋_GB2312" w:eastAsia="仿宋_GB2312"/>
          <w:color w:val="auto"/>
          <w:sz w:val="30"/>
          <w:szCs w:val="24"/>
          <w:highlight w:val="none"/>
          <w:lang w:val="en-US" w:eastAsia="zh-CN"/>
        </w:rPr>
        <w:t xml:space="preserve"> </w:t>
      </w:r>
      <w:r>
        <w:rPr>
          <w:rFonts w:hint="eastAsia" w:ascii="仿宋_GB2312" w:eastAsia="仿宋_GB2312"/>
          <w:color w:val="auto"/>
          <w:sz w:val="30"/>
          <w:szCs w:val="24"/>
          <w:highlight w:val="none"/>
          <w:lang w:eastAsia="zh-CN"/>
        </w:rPr>
        <w:t>提高</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eastAsia="仿宋_GB2312"/>
          <w:color w:val="auto"/>
          <w:sz w:val="30"/>
          <w:szCs w:val="24"/>
          <w:highlight w:val="none"/>
          <w:lang w:val="en-US" w:eastAsia="zh-CN"/>
        </w:rPr>
        <w:t>提高</w:t>
      </w:r>
      <w:r>
        <w:rPr>
          <w:rFonts w:hint="eastAsia" w:ascii="仿宋_GB2312" w:hAnsi="Times New Roman" w:eastAsia="仿宋_GB2312"/>
          <w:color w:val="auto"/>
          <w:sz w:val="30"/>
          <w:szCs w:val="24"/>
          <w:highlight w:val="none"/>
          <w:lang w:val="en-US"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lang w:val="en-US" w:eastAsia="zh-CN"/>
        </w:rPr>
        <w:t>可持续影响指标：</w:t>
      </w:r>
      <w:r>
        <w:rPr>
          <w:rStyle w:val="4"/>
          <w:rFonts w:hint="eastAsia" w:ascii="仿宋_GB2312" w:hAnsi="仿宋_GB2312" w:eastAsia="仿宋_GB2312" w:cs="仿宋_GB2312"/>
          <w:b w:val="0"/>
          <w:bCs w:val="0"/>
          <w:color w:val="auto"/>
          <w:spacing w:val="-4"/>
          <w:sz w:val="32"/>
          <w:szCs w:val="32"/>
          <w:highlight w:val="none"/>
        </w:rPr>
        <w:t>提高居民的安全感</w:t>
      </w:r>
      <w:r>
        <w:rPr>
          <w:rStyle w:val="4"/>
          <w:rFonts w:hint="eastAsia" w:ascii="仿宋_GB2312" w:hAnsi="仿宋_GB2312" w:eastAsia="仿宋_GB2312" w:cs="仿宋_GB2312"/>
          <w:b w:val="0"/>
          <w:bCs w:val="0"/>
          <w:color w:val="auto"/>
          <w:spacing w:val="-4"/>
          <w:sz w:val="32"/>
          <w:szCs w:val="32"/>
          <w:highlight w:val="none"/>
          <w:lang w:val="en-US" w:eastAsia="zh-CN"/>
        </w:rPr>
        <w:t xml:space="preserve"> </w:t>
      </w:r>
      <w:r>
        <w:rPr>
          <w:rStyle w:val="4"/>
          <w:rFonts w:hint="eastAsia" w:ascii="仿宋_GB2312" w:hAnsi="仿宋_GB2312" w:eastAsia="仿宋_GB2312" w:cs="仿宋_GB2312"/>
          <w:b w:val="0"/>
          <w:bCs w:val="0"/>
          <w:color w:val="auto"/>
          <w:spacing w:val="-4"/>
          <w:sz w:val="32"/>
          <w:szCs w:val="32"/>
          <w:highlight w:val="none"/>
          <w:lang w:eastAsia="zh-CN"/>
        </w:rPr>
        <w:t>提高</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lang w:val="en-US" w:eastAsia="zh-CN"/>
        </w:rPr>
        <w:t>实际完成值</w:t>
      </w:r>
      <w:r>
        <w:rPr>
          <w:rFonts w:hint="eastAsia" w:ascii="仿宋_GB2312" w:eastAsia="仿宋_GB2312"/>
          <w:color w:val="auto"/>
          <w:sz w:val="30"/>
          <w:szCs w:val="24"/>
          <w:highlight w:val="none"/>
          <w:lang w:val="en-US" w:eastAsia="zh-CN"/>
        </w:rPr>
        <w:t>提高</w:t>
      </w:r>
      <w:r>
        <w:rPr>
          <w:rFonts w:hint="eastAsia" w:ascii="仿宋_GB2312" w:hAnsi="Times New Roman" w:eastAsia="仿宋_GB2312"/>
          <w:color w:val="auto"/>
          <w:sz w:val="30"/>
          <w:szCs w:val="24"/>
          <w:highlight w:val="none"/>
          <w:lang w:val="en-US"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截止2019年12月31日，根据设定经济效益指标无，得分0分；根据设定社会效益指标已全部完成，得分</w:t>
      </w:r>
      <w:r>
        <w:rPr>
          <w:rFonts w:hint="eastAsia" w:ascii="仿宋_GB2312"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分；根据设定生态效益指标无，得分0分；根据设定可持续影响指标已全部完成，得分</w:t>
      </w:r>
      <w:r>
        <w:rPr>
          <w:rFonts w:hint="eastAsia" w:ascii="仿宋_GB2312" w:eastAsia="仿宋_GB2312"/>
          <w:color w:val="auto"/>
          <w:sz w:val="30"/>
          <w:szCs w:val="24"/>
          <w:highlight w:val="none"/>
          <w:lang w:val="en-US" w:eastAsia="zh-CN"/>
        </w:rPr>
        <w:t>9</w:t>
      </w:r>
      <w:r>
        <w:rPr>
          <w:rFonts w:hint="eastAsia" w:ascii="仿宋_GB2312" w:hAnsi="Times New Roman" w:eastAsia="仿宋_GB2312"/>
          <w:color w:val="auto"/>
          <w:sz w:val="30"/>
          <w:szCs w:val="24"/>
          <w:highlight w:val="none"/>
        </w:rPr>
        <w:t>分；项目效益情况合计得分</w:t>
      </w:r>
      <w:r>
        <w:rPr>
          <w:rFonts w:hint="eastAsia" w:ascii="仿宋_GB2312" w:eastAsia="仿宋_GB2312"/>
          <w:color w:val="auto"/>
          <w:sz w:val="30"/>
          <w:szCs w:val="24"/>
          <w:highlight w:val="none"/>
          <w:lang w:val="en-US" w:eastAsia="zh-CN"/>
        </w:rPr>
        <w:t>18</w:t>
      </w:r>
      <w:r>
        <w:rPr>
          <w:rFonts w:hint="eastAsia" w:ascii="仿宋_GB2312" w:hAnsi="Times New Roman" w:eastAsia="仿宋_GB2312"/>
          <w:color w:val="auto"/>
          <w:sz w:val="30"/>
          <w:szCs w:val="24"/>
          <w:highlight w:val="none"/>
        </w:rPr>
        <w:t>分。</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（五）满意度情况</w:t>
      </w:r>
    </w:p>
    <w:p>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参保人员满意度指标值大于9</w:t>
      </w:r>
      <w:r>
        <w:rPr>
          <w:rFonts w:hint="eastAsia" w:ascii="仿宋_GB2312" w:eastAsia="仿宋_GB2312"/>
          <w:color w:val="auto"/>
          <w:sz w:val="30"/>
          <w:szCs w:val="24"/>
          <w:highlight w:val="none"/>
          <w:lang w:val="en-US" w:eastAsia="zh-CN"/>
        </w:rPr>
        <w:t>5</w:t>
      </w:r>
      <w:r>
        <w:rPr>
          <w:rFonts w:hint="eastAsia" w:ascii="仿宋_GB2312" w:hAnsi="Times New Roman" w:eastAsia="仿宋_GB2312"/>
          <w:color w:val="auto"/>
          <w:sz w:val="30"/>
          <w:szCs w:val="24"/>
          <w:highlight w:val="none"/>
        </w:rPr>
        <w:t>%，实际完成值达9</w:t>
      </w:r>
      <w:r>
        <w:rPr>
          <w:rFonts w:hint="eastAsia" w:ascii="仿宋_GB2312" w:hAnsi="Times New Roman" w:eastAsia="仿宋_GB2312"/>
          <w:color w:val="auto"/>
          <w:sz w:val="30"/>
          <w:szCs w:val="24"/>
          <w:highlight w:val="none"/>
          <w:lang w:val="en-US" w:eastAsia="zh-CN"/>
        </w:rPr>
        <w:t>5</w:t>
      </w:r>
      <w:r>
        <w:rPr>
          <w:rFonts w:hint="eastAsia" w:ascii="仿宋_GB2312" w:hAnsi="Times New Roman" w:eastAsia="仿宋_GB2312"/>
          <w:color w:val="auto"/>
          <w:sz w:val="30"/>
          <w:szCs w:val="24"/>
          <w:highlight w:val="none"/>
        </w:rPr>
        <w:t>%</w:t>
      </w:r>
      <w:r>
        <w:rPr>
          <w:rFonts w:hint="eastAsia" w:ascii="仿宋_GB2312"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完成率</w:t>
      </w:r>
      <w:r>
        <w:rPr>
          <w:rFonts w:hint="eastAsia" w:ascii="仿宋_GB2312" w:hAnsi="Times New Roman" w:eastAsia="仿宋_GB2312"/>
          <w:color w:val="auto"/>
          <w:sz w:val="30"/>
          <w:szCs w:val="24"/>
          <w:highlight w:val="none"/>
          <w:lang w:val="en-US" w:eastAsia="zh-CN"/>
        </w:rPr>
        <w:t>100</w:t>
      </w:r>
      <w:r>
        <w:rPr>
          <w:rFonts w:hint="eastAsia" w:ascii="仿宋_GB2312" w:hAnsi="Times New Roman" w:eastAsia="仿宋_GB2312"/>
          <w:color w:val="auto"/>
          <w:sz w:val="30"/>
          <w:szCs w:val="24"/>
          <w:highlight w:val="none"/>
        </w:rPr>
        <w:t>%;</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eastAsia="zh-CN"/>
        </w:rPr>
        <w:t>截止</w:t>
      </w:r>
      <w:r>
        <w:rPr>
          <w:rFonts w:hint="eastAsia" w:ascii="仿宋_GB2312" w:hAnsi="Times New Roman" w:eastAsia="仿宋_GB2312"/>
          <w:color w:val="auto"/>
          <w:sz w:val="30"/>
          <w:szCs w:val="24"/>
          <w:highlight w:val="none"/>
          <w:lang w:val="en-US" w:eastAsia="zh-CN"/>
        </w:rPr>
        <w:t>2019年12月31日，</w:t>
      </w:r>
      <w:r>
        <w:rPr>
          <w:rFonts w:hint="eastAsia" w:ascii="仿宋_GB2312" w:hAnsi="Times New Roman" w:eastAsia="仿宋_GB2312"/>
          <w:color w:val="auto"/>
          <w:sz w:val="30"/>
          <w:szCs w:val="24"/>
          <w:highlight w:val="none"/>
          <w:lang w:eastAsia="zh-CN"/>
        </w:rPr>
        <w:t>根据设定</w:t>
      </w:r>
      <w:r>
        <w:rPr>
          <w:rFonts w:hint="eastAsia" w:ascii="仿宋_GB2312" w:hAnsi="Times New Roman" w:eastAsia="仿宋_GB2312"/>
          <w:color w:val="auto"/>
          <w:sz w:val="30"/>
          <w:szCs w:val="24"/>
          <w:highlight w:val="none"/>
        </w:rPr>
        <w:t>该项目</w:t>
      </w:r>
      <w:r>
        <w:rPr>
          <w:rFonts w:hint="eastAsia" w:ascii="仿宋_GB2312" w:hAnsi="Times New Roman" w:eastAsia="仿宋_GB2312"/>
          <w:color w:val="auto"/>
          <w:sz w:val="30"/>
          <w:szCs w:val="24"/>
          <w:highlight w:val="none"/>
          <w:lang w:eastAsia="zh-CN"/>
        </w:rPr>
        <w:t>满意度指标已</w:t>
      </w:r>
      <w:r>
        <w:rPr>
          <w:rFonts w:hint="eastAsia" w:ascii="仿宋_GB2312" w:hAnsi="Times New Roman" w:eastAsia="仿宋_GB2312"/>
          <w:color w:val="auto"/>
          <w:sz w:val="30"/>
          <w:szCs w:val="24"/>
          <w:highlight w:val="none"/>
        </w:rPr>
        <w:t>达到预期成效；满意度指标合计得分10分。</w:t>
      </w:r>
    </w:p>
    <w:p>
      <w:pPr>
        <w:numPr>
          <w:ilvl w:val="0"/>
          <w:numId w:val="5"/>
        </w:numPr>
        <w:spacing w:line="600" w:lineRule="exact"/>
        <w:ind w:firstLine="600" w:firstLineChars="200"/>
        <w:rPr>
          <w:rFonts w:hint="eastAsia" w:ascii="黑体" w:hAnsi="黑体" w:eastAsia="黑体"/>
          <w:color w:val="auto"/>
          <w:sz w:val="30"/>
          <w:szCs w:val="24"/>
          <w:highlight w:val="none"/>
        </w:rPr>
      </w:pPr>
      <w:r>
        <w:rPr>
          <w:rFonts w:hint="eastAsia" w:ascii="黑体" w:hAnsi="黑体" w:eastAsia="黑体"/>
          <w:color w:val="auto"/>
          <w:sz w:val="30"/>
          <w:szCs w:val="24"/>
          <w:highlight w:val="none"/>
        </w:rPr>
        <w:t>主要经验及做法、存在的问题及原因分析</w:t>
      </w:r>
    </w:p>
    <w:p>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（一）主要经验及做法</w:t>
      </w:r>
    </w:p>
    <w:p>
      <w:pPr>
        <w:pStyle w:val="9"/>
        <w:spacing w:line="52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1、严格执行</w:t>
      </w:r>
      <w:r>
        <w:rPr>
          <w:rFonts w:hint="eastAsia" w:ascii="仿宋_GB2312" w:eastAsia="仿宋_GB2312"/>
          <w:color w:val="auto"/>
          <w:kern w:val="2"/>
          <w:sz w:val="30"/>
          <w:szCs w:val="24"/>
          <w:highlight w:val="none"/>
          <w:lang w:eastAsia="zh-CN"/>
        </w:rPr>
        <w:t>财政</w:t>
      </w:r>
      <w:r>
        <w:rPr>
          <w:rFonts w:hint="eastAsia" w:ascii="仿宋_GB2312" w:eastAsia="仿宋_GB2312"/>
          <w:color w:val="auto"/>
          <w:kern w:val="2"/>
          <w:sz w:val="30"/>
          <w:szCs w:val="24"/>
          <w:highlight w:val="none"/>
        </w:rPr>
        <w:t>部门下发的经费管理要求进行开支和管理，按照年初各部门详细填列预算开支项目，严格遵守节约制度，落实地方</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预算管理、采购管理、财务管理等相关管理制度。</w:t>
      </w:r>
    </w:p>
    <w:p>
      <w:pPr>
        <w:pStyle w:val="9"/>
        <w:spacing w:line="52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pPr>
        <w:pStyle w:val="9"/>
        <w:spacing w:line="52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3、进一步完善绩效评价、监督机制等方面的制度建设，扩大绩效评价的范围，对项目实施效果进行绩效跟踪和多方评估。对部门预算安排的项目支出，项目实施单位除提供相关依据外，必须报送绩效报告。</w:t>
      </w:r>
    </w:p>
    <w:p>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（二）存在问题及原因分析</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1、预算绩效管理有待提升</w:t>
      </w:r>
    </w:p>
    <w:p>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预算绩效管理水平不够，目标约束力不够强，绩效理念树立尚不牢固，</w:t>
      </w:r>
      <w:r>
        <w:rPr>
          <w:rFonts w:hint="eastAsia" w:ascii="仿宋_GB2312" w:eastAsia="仿宋_GB2312"/>
          <w:color w:val="auto"/>
          <w:sz w:val="30"/>
          <w:szCs w:val="24"/>
          <w:highlight w:val="none"/>
          <w:lang w:eastAsia="zh-CN"/>
        </w:rPr>
        <w:t>年初</w:t>
      </w:r>
      <w:r>
        <w:rPr>
          <w:rFonts w:hint="eastAsia" w:ascii="仿宋_GB2312" w:hAnsi="Times New Roman" w:eastAsia="仿宋_GB2312"/>
          <w:color w:val="auto"/>
          <w:sz w:val="30"/>
          <w:szCs w:val="24"/>
          <w:highlight w:val="none"/>
        </w:rPr>
        <w:t>项目绩效目标设置存在问题，产出指标中成本指标、时效指标均未设置，项目相关受益群体的满意度指标未进行设置；项目自评报告中资金安排落实金额书写错误，自评表中指标完成值书写不规范，报告质量有待提高。</w:t>
      </w:r>
    </w:p>
    <w:p>
      <w:pPr>
        <w:numPr>
          <w:ilvl w:val="0"/>
          <w:numId w:val="6"/>
        </w:numPr>
        <w:spacing w:line="600" w:lineRule="exact"/>
        <w:ind w:firstLine="600" w:firstLineChars="200"/>
        <w:outlineLvl w:val="0"/>
        <w:rPr>
          <w:rFonts w:ascii="仿宋_GB2312" w:hAnsi="Times New Roman" w:eastAsia="仿宋_GB2312"/>
          <w:color w:val="auto"/>
          <w:sz w:val="30"/>
          <w:szCs w:val="24"/>
          <w:highlight w:val="none"/>
        </w:rPr>
      </w:pPr>
      <w:r>
        <w:rPr>
          <w:rFonts w:ascii="仿宋_GB2312" w:hAnsi="Times New Roman" w:eastAsia="仿宋_GB2312"/>
          <w:color w:val="auto"/>
          <w:sz w:val="30"/>
          <w:szCs w:val="24"/>
          <w:highlight w:val="none"/>
        </w:rPr>
        <w:t>项目分项管理工作不足。</w:t>
      </w:r>
    </w:p>
    <w:p>
      <w:pPr>
        <w:numPr>
          <w:ilvl w:val="0"/>
          <w:numId w:val="0"/>
        </w:num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eastAsia="仿宋_GB2312"/>
          <w:color w:val="auto"/>
          <w:sz w:val="30"/>
          <w:szCs w:val="24"/>
          <w:highlight w:val="none"/>
          <w:lang w:eastAsia="zh-CN"/>
        </w:rPr>
        <w:t>无分项管理</w:t>
      </w:r>
    </w:p>
    <w:p>
      <w:pPr>
        <w:numPr>
          <w:ilvl w:val="0"/>
          <w:numId w:val="5"/>
        </w:numPr>
        <w:spacing w:line="600" w:lineRule="exact"/>
        <w:ind w:firstLine="600" w:firstLineChars="200"/>
        <w:rPr>
          <w:rFonts w:hint="eastAsia" w:ascii="黑体" w:hAnsi="黑体" w:eastAsia="黑体"/>
          <w:color w:val="auto"/>
          <w:sz w:val="30"/>
          <w:szCs w:val="24"/>
          <w:highlight w:val="none"/>
        </w:rPr>
      </w:pPr>
      <w:r>
        <w:rPr>
          <w:rFonts w:hint="eastAsia" w:ascii="黑体" w:hAnsi="黑体" w:eastAsia="黑体"/>
          <w:color w:val="auto"/>
          <w:sz w:val="30"/>
          <w:szCs w:val="24"/>
          <w:highlight w:val="none"/>
        </w:rPr>
        <w:t>有关建议</w:t>
      </w:r>
    </w:p>
    <w:p>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1.预算安排和执行方面建议</w:t>
      </w:r>
    </w:p>
    <w:p>
      <w:pPr>
        <w:pStyle w:val="9"/>
        <w:spacing w:line="560" w:lineRule="exact"/>
        <w:ind w:firstLine="640"/>
        <w:rPr>
          <w:rFonts w:hint="eastAsia" w:ascii="仿宋_GB2312" w:eastAsia="仿宋_GB2312"/>
          <w:color w:val="auto"/>
          <w:kern w:val="2"/>
          <w:sz w:val="30"/>
          <w:szCs w:val="24"/>
          <w:highlight w:val="none"/>
          <w:lang w:eastAsia="zh-CN"/>
        </w:rPr>
      </w:pPr>
      <w:r>
        <w:rPr>
          <w:rFonts w:hint="eastAsia" w:ascii="仿宋_GB2312" w:eastAsia="仿宋_GB2312"/>
          <w:color w:val="auto"/>
          <w:kern w:val="2"/>
          <w:sz w:val="30"/>
          <w:szCs w:val="24"/>
          <w:highlight w:val="none"/>
        </w:rPr>
        <w:t>严格按照预算管理规定进行立项确认。我单位办公室负责预算的编制、执行和上报等工作。在项目预算编制过程中,严格按照</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部门的相关要求坚持对项目先进行论证,结合论证情况编制预算,在预算安排中重点刚性支出,最后由</w:t>
      </w:r>
      <w:r>
        <w:rPr>
          <w:rFonts w:hint="eastAsia" w:ascii="仿宋_GB2312" w:eastAsia="仿宋_GB2312"/>
          <w:color w:val="auto"/>
          <w:kern w:val="2"/>
          <w:sz w:val="30"/>
          <w:szCs w:val="24"/>
          <w:highlight w:val="none"/>
          <w:lang w:eastAsia="zh-CN"/>
        </w:rPr>
        <w:t>财政</w:t>
      </w:r>
      <w:r>
        <w:rPr>
          <w:rFonts w:hint="eastAsia" w:ascii="仿宋_GB2312" w:eastAsia="仿宋_GB2312"/>
          <w:color w:val="auto"/>
          <w:kern w:val="2"/>
          <w:sz w:val="30"/>
          <w:szCs w:val="24"/>
          <w:highlight w:val="none"/>
        </w:rPr>
        <w:t>部门结合我</w:t>
      </w:r>
      <w:r>
        <w:rPr>
          <w:rFonts w:hint="eastAsia" w:ascii="仿宋_GB2312" w:eastAsia="仿宋_GB2312"/>
          <w:color w:val="auto"/>
          <w:kern w:val="2"/>
          <w:sz w:val="30"/>
          <w:szCs w:val="24"/>
          <w:highlight w:val="none"/>
          <w:lang w:eastAsia="zh-CN"/>
        </w:rPr>
        <w:t>区</w:t>
      </w:r>
      <w:r>
        <w:rPr>
          <w:rFonts w:hint="eastAsia" w:ascii="仿宋_GB2312" w:eastAsia="仿宋_GB2312"/>
          <w:color w:val="auto"/>
          <w:kern w:val="2"/>
          <w:sz w:val="30"/>
          <w:szCs w:val="24"/>
          <w:highlight w:val="none"/>
        </w:rPr>
        <w:t>财力情况进行预算安排。</w:t>
      </w:r>
    </w:p>
    <w:p>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2.制度建设方面建议</w:t>
      </w:r>
    </w:p>
    <w:p>
      <w:pPr>
        <w:spacing w:line="560" w:lineRule="exact"/>
        <w:ind w:firstLine="64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p>
    <w:p>
      <w:pPr>
        <w:pStyle w:val="9"/>
        <w:spacing w:line="560" w:lineRule="exact"/>
        <w:ind w:firstLine="643"/>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3.项目管理方面建议</w:t>
      </w:r>
    </w:p>
    <w:p>
      <w:pPr>
        <w:pStyle w:val="9"/>
        <w:spacing w:line="56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4.资金管理方面建议</w:t>
      </w:r>
    </w:p>
    <w:p>
      <w:pPr>
        <w:pStyle w:val="9"/>
        <w:spacing w:line="56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严格执行</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部门下发的经费管理要求进行开支和管理，按照年初部门详细填列预算开支项目，严格遵守节约制度，落实地方</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预算管理、采购管理、财务管理等相关管理制度。</w:t>
      </w:r>
    </w:p>
    <w:p>
      <w:pPr>
        <w:pStyle w:val="8"/>
        <w:spacing w:line="560" w:lineRule="exact"/>
        <w:ind w:left="420"/>
        <w:rPr>
          <w:rFonts w:hint="eastAsia"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5.其他方面建议</w:t>
      </w:r>
    </w:p>
    <w:p>
      <w:pPr>
        <w:pStyle w:val="9"/>
        <w:spacing w:line="560" w:lineRule="exact"/>
        <w:ind w:firstLine="640"/>
        <w:rPr>
          <w:rFonts w:hint="eastAsia" w:ascii="仿宋_GB2312" w:eastAsia="仿宋_GB2312"/>
          <w:color w:val="auto"/>
          <w:kern w:val="2"/>
          <w:sz w:val="30"/>
          <w:szCs w:val="24"/>
          <w:highlight w:val="none"/>
        </w:rPr>
      </w:pPr>
      <w:r>
        <w:rPr>
          <w:rFonts w:hint="eastAsia" w:ascii="仿宋_GB2312" w:eastAsia="仿宋_GB2312"/>
          <w:color w:val="auto"/>
          <w:kern w:val="2"/>
          <w:sz w:val="30"/>
          <w:szCs w:val="24"/>
          <w:highlight w:val="none"/>
        </w:rPr>
        <w:t>加强绩效评价力度。加强对项目的绩效评价，保障</w:t>
      </w:r>
      <w:r>
        <w:rPr>
          <w:rFonts w:hint="eastAsia" w:ascii="仿宋_GB2312" w:eastAsia="仿宋_GB2312"/>
          <w:color w:val="auto"/>
          <w:kern w:val="2"/>
          <w:sz w:val="30"/>
          <w:szCs w:val="24"/>
          <w:highlight w:val="none"/>
          <w:lang w:eastAsia="zh-CN"/>
        </w:rPr>
        <w:t>人社</w:t>
      </w:r>
      <w:r>
        <w:rPr>
          <w:rFonts w:hint="eastAsia" w:ascii="仿宋_GB2312" w:eastAsia="仿宋_GB2312"/>
          <w:color w:val="auto"/>
          <w:kern w:val="2"/>
          <w:sz w:val="30"/>
          <w:szCs w:val="24"/>
          <w:highlight w:val="none"/>
        </w:rPr>
        <w:t>资金更合理的应用到实处，希望</w:t>
      </w:r>
      <w:r>
        <w:rPr>
          <w:rFonts w:hint="eastAsia" w:ascii="仿宋_GB2312" w:eastAsia="仿宋_GB2312"/>
          <w:color w:val="auto"/>
          <w:kern w:val="2"/>
          <w:sz w:val="30"/>
          <w:szCs w:val="24"/>
          <w:highlight w:val="none"/>
          <w:lang w:eastAsia="zh-CN"/>
        </w:rPr>
        <w:t>区财政</w:t>
      </w:r>
      <w:r>
        <w:rPr>
          <w:rFonts w:hint="eastAsia" w:ascii="仿宋_GB2312" w:eastAsia="仿宋_GB2312"/>
          <w:color w:val="auto"/>
          <w:kern w:val="2"/>
          <w:sz w:val="30"/>
          <w:szCs w:val="24"/>
          <w:highlight w:val="none"/>
        </w:rPr>
        <w:t>局加强绩效评价培训及指导。</w:t>
      </w:r>
    </w:p>
    <w:p>
      <w:pPr>
        <w:numPr>
          <w:ilvl w:val="0"/>
          <w:numId w:val="5"/>
        </w:numPr>
        <w:spacing w:line="600" w:lineRule="exact"/>
        <w:ind w:firstLine="600" w:firstLineChars="200"/>
        <w:rPr>
          <w:rFonts w:hint="eastAsia" w:ascii="黑体" w:hAnsi="黑体" w:eastAsia="黑体"/>
          <w:color w:val="auto"/>
          <w:sz w:val="30"/>
          <w:szCs w:val="24"/>
          <w:highlight w:val="none"/>
        </w:rPr>
      </w:pPr>
      <w:r>
        <w:rPr>
          <w:rFonts w:hint="eastAsia" w:ascii="黑体" w:hAnsi="黑体" w:eastAsia="黑体"/>
          <w:color w:val="auto"/>
          <w:sz w:val="30"/>
          <w:szCs w:val="24"/>
          <w:highlight w:val="none"/>
        </w:rPr>
        <w:t>其他需要说明的问题</w:t>
      </w:r>
    </w:p>
    <w:p>
      <w:pPr>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无</w:t>
      </w:r>
    </w:p>
    <w:p>
      <w:pPr>
        <w:spacing w:line="500" w:lineRule="exact"/>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附件1</w:t>
      </w:r>
    </w:p>
    <w:p>
      <w:pPr>
        <w:spacing w:line="500" w:lineRule="exact"/>
        <w:ind w:left="420" w:leftChars="200" w:firstLine="2240" w:firstLineChars="700"/>
        <w:rPr>
          <w:rFonts w:hint="eastAsia" w:ascii="仿宋_GB2312" w:hAnsi="Times New Roman" w:eastAsia="仿宋_GB2312"/>
          <w:color w:val="auto"/>
          <w:sz w:val="30"/>
          <w:szCs w:val="24"/>
          <w:highlight w:val="none"/>
        </w:rPr>
      </w:pPr>
      <w:r>
        <w:rPr>
          <w:color w:val="auto"/>
          <w:sz w:val="32"/>
          <w:szCs w:val="32"/>
          <w:highlight w:val="none"/>
        </w:rPr>
        <w:t>绩效评价指标体系</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noWrap w:val="0"/>
            <w:vAlign w:val="center"/>
          </w:tcPr>
          <w:p>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一级指标</w:t>
            </w:r>
          </w:p>
        </w:tc>
        <w:tc>
          <w:tcPr>
            <w:tcW w:w="1478" w:type="dxa"/>
            <w:shd w:val="clear" w:color="auto" w:fill="FFFFFF"/>
            <w:noWrap w:val="0"/>
            <w:vAlign w:val="center"/>
          </w:tcPr>
          <w:p>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二级指标</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三级指标</w:t>
            </w:r>
          </w:p>
        </w:tc>
        <w:tc>
          <w:tcPr>
            <w:tcW w:w="3885" w:type="dxa"/>
            <w:tcBorders>
              <w:right w:val="single" w:color="auto" w:sz="4" w:space="0"/>
            </w:tcBorders>
            <w:shd w:val="clear" w:color="auto" w:fill="FFFFFF"/>
            <w:noWrap w:val="0"/>
            <w:vAlign w:val="top"/>
          </w:tcPr>
          <w:p>
            <w:pPr>
              <w:widowControl/>
              <w:spacing w:line="600" w:lineRule="auto"/>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指标解释</w:t>
            </w:r>
          </w:p>
        </w:tc>
        <w:tc>
          <w:tcPr>
            <w:tcW w:w="990" w:type="dxa"/>
            <w:tcBorders>
              <w:left w:val="single" w:color="auto" w:sz="4" w:space="0"/>
            </w:tcBorders>
            <w:shd w:val="clear" w:color="auto" w:fill="FFFFFF"/>
            <w:noWrap w:val="0"/>
            <w:vAlign w:val="top"/>
          </w:tcPr>
          <w:p>
            <w:pPr>
              <w:widowControl/>
              <w:spacing w:line="600" w:lineRule="auto"/>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分值</w:t>
            </w:r>
          </w:p>
        </w:tc>
        <w:tc>
          <w:tcPr>
            <w:tcW w:w="874" w:type="dxa"/>
            <w:shd w:val="clear" w:color="auto" w:fill="FFFFFF"/>
            <w:noWrap w:val="0"/>
            <w:vAlign w:val="top"/>
          </w:tcPr>
          <w:p>
            <w:pPr>
              <w:widowControl/>
              <w:spacing w:line="600" w:lineRule="auto"/>
              <w:jc w:val="center"/>
              <w:rPr>
                <w:rFonts w:hint="eastAsia" w:ascii="宋体" w:hAnsi="宋体" w:cs="宋体"/>
                <w:b/>
                <w:bCs/>
                <w:color w:val="auto"/>
                <w:kern w:val="0"/>
                <w:sz w:val="22"/>
                <w:highlight w:val="none"/>
              </w:rPr>
            </w:pPr>
            <w:r>
              <w:rPr>
                <w:rFonts w:hint="eastAsia" w:ascii="宋体" w:hAnsi="宋体" w:cs="宋体"/>
                <w:b/>
                <w:bCs/>
                <w:color w:val="auto"/>
                <w:kern w:val="0"/>
                <w:sz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决策</w:t>
            </w:r>
          </w:p>
        </w:tc>
        <w:tc>
          <w:tcPr>
            <w:tcW w:w="1478"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项目立项　</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立项依据</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充分性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noWrap w:val="0"/>
            <w:vAlign w:val="top"/>
          </w:tcPr>
          <w:p>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立项程序</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规范性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noWrap w:val="0"/>
            <w:vAlign w:val="top"/>
          </w:tcPr>
          <w:p>
            <w:pPr>
              <w:spacing w:line="600" w:lineRule="auto"/>
              <w:jc w:val="center"/>
              <w:rPr>
                <w:color w:val="auto"/>
                <w:highlight w:val="none"/>
              </w:rPr>
            </w:pPr>
            <w:r>
              <w:rPr>
                <w:color w:val="auto"/>
                <w:highlight w:val="none"/>
              </w:rPr>
              <w:t>3</w:t>
            </w:r>
          </w:p>
        </w:tc>
        <w:tc>
          <w:tcPr>
            <w:tcW w:w="874" w:type="dxa"/>
            <w:shd w:val="clear" w:color="auto"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478"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5</w:t>
            </w:r>
          </w:p>
        </w:tc>
        <w:tc>
          <w:tcPr>
            <w:tcW w:w="874" w:type="dxa"/>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绩效指标</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明确性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478"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资金投入</w:t>
            </w:r>
          </w:p>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预算编制</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科学性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noWrap w:val="0"/>
            <w:vAlign w:val="top"/>
          </w:tcPr>
          <w:p>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资金分配</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noWrap w:val="0"/>
            <w:vAlign w:val="top"/>
          </w:tcPr>
          <w:p>
            <w:pPr>
              <w:spacing w:line="600" w:lineRule="auto"/>
              <w:jc w:val="center"/>
              <w:rPr>
                <w:color w:val="auto"/>
                <w:highlight w:val="none"/>
              </w:rPr>
            </w:pPr>
            <w:r>
              <w:rPr>
                <w:color w:val="auto"/>
                <w:highlight w:val="none"/>
              </w:rPr>
              <w:t>4</w:t>
            </w:r>
          </w:p>
        </w:tc>
        <w:tc>
          <w:tcPr>
            <w:tcW w:w="874" w:type="dxa"/>
            <w:shd w:val="clear" w:color="auto"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noWrap w:val="0"/>
            <w:vAlign w:val="center"/>
          </w:tcPr>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过程</w:t>
            </w:r>
          </w:p>
        </w:tc>
        <w:tc>
          <w:tcPr>
            <w:tcW w:w="1478"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资金到位率</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预算执行率</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noWrap w:val="0"/>
            <w:vAlign w:val="top"/>
          </w:tcPr>
          <w:p>
            <w:pPr>
              <w:spacing w:line="600" w:lineRule="auto"/>
              <w:jc w:val="center"/>
              <w:rPr>
                <w:color w:val="auto"/>
                <w:highlight w:val="none"/>
              </w:rPr>
            </w:pPr>
            <w:r>
              <w:rPr>
                <w:color w:val="auto"/>
                <w:highlight w:val="none"/>
              </w:rPr>
              <w:t>5</w:t>
            </w:r>
          </w:p>
        </w:tc>
        <w:tc>
          <w:tcPr>
            <w:tcW w:w="874" w:type="dxa"/>
            <w:tcBorders>
              <w:bottom w:val="single" w:color="auto" w:sz="4" w:space="0"/>
            </w:tcBorders>
            <w:shd w:val="clear" w:color="auto"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478" w:type="dxa"/>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资金使用</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合规性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478"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组织实施</w:t>
            </w:r>
          </w:p>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管理制度</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健全性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制度执行</w:t>
            </w:r>
          </w:p>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有效性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2</w:t>
            </w:r>
          </w:p>
        </w:tc>
        <w:tc>
          <w:tcPr>
            <w:tcW w:w="874" w:type="dxa"/>
            <w:tcBorders>
              <w:bottom w:val="single" w:color="auto" w:sz="4" w:space="0"/>
            </w:tcBorders>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w:t>
            </w:r>
          </w:p>
        </w:tc>
        <w:tc>
          <w:tcPr>
            <w:tcW w:w="1478" w:type="dxa"/>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产出数量</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实际完成率</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8</w:t>
            </w:r>
          </w:p>
        </w:tc>
        <w:tc>
          <w:tcPr>
            <w:tcW w:w="874" w:type="dxa"/>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478" w:type="dxa"/>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产出质量</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质量达标率</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7</w:t>
            </w:r>
          </w:p>
        </w:tc>
        <w:tc>
          <w:tcPr>
            <w:tcW w:w="874" w:type="dxa"/>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noWrap w:val="0"/>
            <w:vAlign w:val="center"/>
          </w:tcPr>
          <w:p>
            <w:pPr>
              <w:spacing w:line="0" w:lineRule="atLeast"/>
              <w:jc w:val="center"/>
              <w:rPr>
                <w:rFonts w:ascii="宋体" w:hAnsi="宋体" w:cs="宋体"/>
                <w:color w:val="auto"/>
                <w:kern w:val="0"/>
                <w:sz w:val="22"/>
                <w:highlight w:val="none"/>
              </w:rPr>
            </w:pPr>
          </w:p>
        </w:tc>
        <w:tc>
          <w:tcPr>
            <w:tcW w:w="1478" w:type="dxa"/>
            <w:shd w:val="clear" w:color="auto" w:fill="FFFFFF"/>
            <w:noWrap w:val="0"/>
            <w:vAlign w:val="center"/>
          </w:tcPr>
          <w:p>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产出时效</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完成及时性</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8</w:t>
            </w:r>
          </w:p>
        </w:tc>
        <w:tc>
          <w:tcPr>
            <w:tcW w:w="874" w:type="dxa"/>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noWrap w:val="0"/>
            <w:vAlign w:val="center"/>
          </w:tcPr>
          <w:p>
            <w:pPr>
              <w:widowControl/>
              <w:spacing w:line="0" w:lineRule="atLeast"/>
              <w:jc w:val="center"/>
              <w:rPr>
                <w:rFonts w:hint="eastAsia" w:ascii="宋体" w:hAnsi="宋体" w:cs="宋体"/>
                <w:color w:val="auto"/>
                <w:kern w:val="0"/>
                <w:sz w:val="22"/>
                <w:highlight w:val="none"/>
              </w:rPr>
            </w:pPr>
          </w:p>
        </w:tc>
        <w:tc>
          <w:tcPr>
            <w:tcW w:w="1478" w:type="dxa"/>
            <w:shd w:val="clear" w:color="auto" w:fill="FFFFFF"/>
            <w:noWrap w:val="0"/>
            <w:vAlign w:val="center"/>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产出成本</w:t>
            </w:r>
          </w:p>
        </w:tc>
        <w:tc>
          <w:tcPr>
            <w:tcW w:w="1875" w:type="dxa"/>
            <w:tcBorders>
              <w:right w:val="single" w:color="auto" w:sz="4" w:space="0"/>
            </w:tcBorders>
            <w:shd w:val="clear" w:color="auto" w:fill="FFFFFF"/>
            <w:noWrap w:val="0"/>
            <w:vAlign w:val="center"/>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成本节约率</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noWrap w:val="0"/>
            <w:vAlign w:val="top"/>
          </w:tcPr>
          <w:p>
            <w:pPr>
              <w:spacing w:line="600" w:lineRule="auto"/>
              <w:jc w:val="center"/>
              <w:rPr>
                <w:color w:val="auto"/>
                <w:highlight w:val="none"/>
              </w:rPr>
            </w:pPr>
            <w:r>
              <w:rPr>
                <w:color w:val="auto"/>
                <w:highlight w:val="none"/>
              </w:rPr>
              <w:t>7</w:t>
            </w:r>
          </w:p>
        </w:tc>
        <w:tc>
          <w:tcPr>
            <w:tcW w:w="874" w:type="dxa"/>
            <w:shd w:val="clear" w:color="auto"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效益　</w:t>
            </w:r>
          </w:p>
        </w:tc>
        <w:tc>
          <w:tcPr>
            <w:tcW w:w="1478" w:type="dxa"/>
            <w:vMerge w:val="restart"/>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项目效益　</w:t>
            </w: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实施效益</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项目实施所产生的效益。</w:t>
            </w:r>
          </w:p>
        </w:tc>
        <w:tc>
          <w:tcPr>
            <w:tcW w:w="990" w:type="dxa"/>
            <w:tcBorders>
              <w:left w:val="single" w:color="auto" w:sz="4" w:space="0"/>
            </w:tcBorders>
            <w:shd w:val="clear" w:color="auto" w:fill="FFFFFF"/>
            <w:noWrap w:val="0"/>
            <w:vAlign w:val="top"/>
          </w:tcPr>
          <w:p>
            <w:pPr>
              <w:spacing w:line="600" w:lineRule="auto"/>
              <w:jc w:val="center"/>
              <w:rPr>
                <w:color w:val="auto"/>
                <w:highlight w:val="none"/>
              </w:rPr>
            </w:pPr>
            <w:r>
              <w:rPr>
                <w:color w:val="auto"/>
                <w:highlight w:val="none"/>
              </w:rPr>
              <w:t>20</w:t>
            </w:r>
          </w:p>
        </w:tc>
        <w:tc>
          <w:tcPr>
            <w:tcW w:w="874" w:type="dxa"/>
            <w:shd w:val="clear" w:color="auto" w:fill="FFFFFF"/>
            <w:noWrap w:val="0"/>
            <w:vAlign w:val="top"/>
          </w:tcPr>
          <w:p>
            <w:pPr>
              <w:spacing w:line="600" w:lineRule="auto"/>
              <w:jc w:val="center"/>
              <w:rPr>
                <w:rFonts w:hint="default" w:eastAsia="宋体"/>
                <w:color w:val="auto"/>
                <w:highlight w:val="none"/>
                <w:lang w:val="en-US" w:eastAsia="zh-CN"/>
              </w:rPr>
            </w:pPr>
            <w:r>
              <w:rPr>
                <w:rFonts w:hint="eastAsia"/>
                <w:color w:val="auto"/>
                <w:highlight w:val="none"/>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noWrap w:val="0"/>
            <w:vAlign w:val="center"/>
          </w:tcPr>
          <w:p>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满意度</w:t>
            </w:r>
          </w:p>
        </w:tc>
        <w:tc>
          <w:tcPr>
            <w:tcW w:w="3885" w:type="dxa"/>
            <w:tcBorders>
              <w:right w:val="single" w:color="auto" w:sz="4" w:space="0"/>
            </w:tcBorders>
            <w:shd w:val="clear" w:color="000000" w:fill="FFFFFF"/>
            <w:noWrap w:val="0"/>
            <w:vAlign w:val="top"/>
          </w:tcPr>
          <w:p>
            <w:pPr>
              <w:widowControl/>
              <w:spacing w:line="0" w:lineRule="atLeast"/>
              <w:jc w:val="center"/>
              <w:rPr>
                <w:rFonts w:hint="eastAsia" w:ascii="宋体" w:hAnsi="宋体" w:cs="宋体"/>
                <w:color w:val="auto"/>
                <w:kern w:val="0"/>
                <w:sz w:val="22"/>
                <w:highlight w:val="none"/>
              </w:rPr>
            </w:pPr>
            <w:r>
              <w:rPr>
                <w:rFonts w:hint="eastAsia" w:ascii="宋体" w:hAnsi="宋体" w:cs="宋体"/>
                <w:color w:val="auto"/>
                <w:kern w:val="0"/>
                <w:sz w:val="22"/>
                <w:highlight w:val="none"/>
              </w:rPr>
              <w:t>社会公众或服务对象对项目实施效果的满意程度。</w:t>
            </w:r>
          </w:p>
        </w:tc>
        <w:tc>
          <w:tcPr>
            <w:tcW w:w="990" w:type="dxa"/>
            <w:tcBorders>
              <w:left w:val="single" w:color="auto" w:sz="4" w:space="0"/>
            </w:tcBorders>
            <w:shd w:val="clear" w:color="000000" w:fill="FFFFFF"/>
            <w:noWrap w:val="0"/>
            <w:vAlign w:val="top"/>
          </w:tcPr>
          <w:p>
            <w:pPr>
              <w:spacing w:line="600" w:lineRule="auto"/>
              <w:jc w:val="center"/>
              <w:rPr>
                <w:color w:val="auto"/>
                <w:highlight w:val="none"/>
              </w:rPr>
            </w:pPr>
            <w:r>
              <w:rPr>
                <w:color w:val="auto"/>
                <w:highlight w:val="none"/>
              </w:rPr>
              <w:t>10</w:t>
            </w:r>
          </w:p>
        </w:tc>
        <w:tc>
          <w:tcPr>
            <w:tcW w:w="874" w:type="dxa"/>
            <w:shd w:val="clear" w:color="000000" w:fill="FFFFFF"/>
            <w:noWrap w:val="0"/>
            <w:vAlign w:val="top"/>
          </w:tcPr>
          <w:p>
            <w:pPr>
              <w:spacing w:line="600" w:lineRule="auto"/>
              <w:jc w:val="center"/>
              <w:rPr>
                <w:rFonts w:hint="eastAsia" w:eastAsia="宋体"/>
                <w:color w:val="auto"/>
                <w:highlight w:val="none"/>
                <w:lang w:val="en-US" w:eastAsia="zh-CN"/>
              </w:rPr>
            </w:pPr>
            <w:r>
              <w:rPr>
                <w:rFonts w:hint="eastAsia"/>
                <w:color w:val="auto"/>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b/>
                <w:bCs/>
                <w:color w:val="auto"/>
                <w:kern w:val="0"/>
                <w:sz w:val="22"/>
                <w:highlight w:val="none"/>
              </w:rPr>
              <w:t>总分</w:t>
            </w:r>
          </w:p>
        </w:tc>
        <w:tc>
          <w:tcPr>
            <w:tcW w:w="3885" w:type="dxa"/>
            <w:tcBorders>
              <w:right w:val="single" w:color="auto" w:sz="4" w:space="0"/>
            </w:tcBorders>
            <w:shd w:val="clear" w:color="auto" w:fill="FFFFFF"/>
            <w:noWrap w:val="0"/>
            <w:vAlign w:val="top"/>
          </w:tcPr>
          <w:p>
            <w:pPr>
              <w:widowControl/>
              <w:spacing w:line="0" w:lineRule="atLeast"/>
              <w:jc w:val="center"/>
              <w:rPr>
                <w:rFonts w:hint="eastAsia" w:ascii="宋体" w:hAnsi="宋体" w:cs="宋体"/>
                <w:color w:val="auto"/>
                <w:kern w:val="0"/>
                <w:sz w:val="22"/>
                <w:highlight w:val="none"/>
              </w:rPr>
            </w:pPr>
          </w:p>
        </w:tc>
        <w:tc>
          <w:tcPr>
            <w:tcW w:w="990" w:type="dxa"/>
            <w:tcBorders>
              <w:left w:val="single" w:color="auto" w:sz="4" w:space="0"/>
            </w:tcBorders>
            <w:shd w:val="clear" w:color="auto" w:fill="FFFFFF"/>
            <w:noWrap w:val="0"/>
            <w:vAlign w:val="center"/>
          </w:tcPr>
          <w:p>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100</w:t>
            </w:r>
          </w:p>
        </w:tc>
        <w:tc>
          <w:tcPr>
            <w:tcW w:w="874" w:type="dxa"/>
            <w:shd w:val="clear" w:color="auto" w:fill="FFFFFF"/>
            <w:noWrap w:val="0"/>
            <w:vAlign w:val="center"/>
          </w:tcPr>
          <w:p>
            <w:pPr>
              <w:widowControl/>
              <w:spacing w:line="0" w:lineRule="atLeast"/>
              <w:jc w:val="center"/>
              <w:rPr>
                <w:rFonts w:hint="default" w:ascii="宋体" w:hAnsi="宋体" w:eastAsia="宋体" w:cs="宋体"/>
                <w:color w:val="auto"/>
                <w:kern w:val="0"/>
                <w:sz w:val="22"/>
                <w:highlight w:val="none"/>
                <w:lang w:val="en-US" w:eastAsia="zh-CN"/>
              </w:rPr>
            </w:pPr>
            <w:r>
              <w:rPr>
                <w:rFonts w:hint="eastAsia" w:ascii="宋体" w:hAnsi="宋体" w:cs="宋体"/>
                <w:color w:val="auto"/>
                <w:kern w:val="0"/>
                <w:sz w:val="22"/>
                <w:highlight w:val="none"/>
                <w:lang w:val="en-US" w:eastAsia="zh-CN"/>
              </w:rPr>
              <w:t>98</w:t>
            </w:r>
          </w:p>
        </w:tc>
      </w:tr>
    </w:tbl>
    <w:p>
      <w:pPr>
        <w:rPr>
          <w:color w:val="auto"/>
          <w:highlight w:val="none"/>
        </w:rPr>
      </w:pPr>
    </w:p>
    <w:p>
      <w:pPr>
        <w:rPr>
          <w:color w:val="auto"/>
          <w:highlight w:val="none"/>
        </w:rPr>
      </w:pPr>
    </w:p>
    <w:p>
      <w:pPr>
        <w:rPr>
          <w:color w:val="auto"/>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114300" distR="114300" simplePos="0" relativeHeight="251658240" behindDoc="1" locked="0" layoutInCell="1" allowOverlap="1">
              <wp:simplePos x="0" y="0"/>
              <wp:positionH relativeFrom="page">
                <wp:posOffset>3750945</wp:posOffset>
              </wp:positionH>
              <wp:positionV relativeFrom="page">
                <wp:posOffset>9863455</wp:posOffset>
              </wp:positionV>
              <wp:extent cx="173990" cy="7302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73990" cy="73025"/>
                      </a:xfrm>
                      <a:prstGeom prst="rect">
                        <a:avLst/>
                      </a:prstGeom>
                      <a:noFill/>
                      <a:ln>
                        <a:noFill/>
                      </a:ln>
                      <a:effectLst/>
                    </wps:spPr>
                    <wps:txbx>
                      <w:txbxContent>
                        <w:p>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wps:txbx>
                    <wps:bodyPr wrap="none" lIns="0" tIns="0" rIns="0" bIns="0">
                      <a:spAutoFit/>
                    </wps:bodyPr>
                  </wps:wsp>
                </a:graphicData>
              </a:graphic>
            </wp:anchor>
          </w:drawing>
        </mc:Choice>
        <mc:Fallback>
          <w:pict>
            <v:shape id="_x0000_s1026" o:spid="_x0000_s1026" o:spt="202" type="#_x0000_t202" style="position:absolute;left:0pt;margin-left:295.35pt;margin-top:776.65pt;height:5.75pt;width:13.7pt;mso-position-horizontal-relative:page;mso-position-vertical-relative:page;mso-wrap-style:none;z-index:-251658240;mso-width-relative:page;mso-height-relative:page;" filled="f" stroked="f" coordsize="21600,21600" o:gfxdata="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UO40&#10;ktgAAAANAQAADwAAAAAAAAABACAAAAAiAAAAZHJzL2Rvd25yZXYueG1sUEsBAhQAFAAAAAgAh07i&#10;QN0TvoOwAQAATAMAAA4AAAAAAAAAAQAgAAAAJwEAAGRycy9lMm9Eb2MueG1sUEsFBgAAAAAGAAYA&#10;WQEAAEkFAAAAAA==&#10;">
              <v:fill on="f" focussize="0,0"/>
              <v:stroke on="f"/>
              <v:imagedata o:title=""/>
              <o:lock v:ext="edit" aspectratio="f"/>
              <v:textbox inset="0mm,0mm,0mm,0mm" style="mso-fit-shape-to-text:t;">
                <w:txbxContent>
                  <w:p>
                    <w:pPr>
                      <w:pStyle w:val="10"/>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18</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AFB85F"/>
    <w:multiLevelType w:val="singleLevel"/>
    <w:tmpl w:val="BBAFB85F"/>
    <w:lvl w:ilvl="0" w:tentative="0">
      <w:start w:val="5"/>
      <w:numFmt w:val="chineseCounting"/>
      <w:suff w:val="nothing"/>
      <w:lvlText w:val="%1、"/>
      <w:lvlJc w:val="left"/>
      <w:rPr>
        <w:rFonts w:hint="eastAsia"/>
      </w:rPr>
    </w:lvl>
  </w:abstractNum>
  <w:abstractNum w:abstractNumId="1">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453A014"/>
    <w:multiLevelType w:val="singleLevel"/>
    <w:tmpl w:val="4453A014"/>
    <w:lvl w:ilvl="0" w:tentative="0">
      <w:start w:val="5"/>
      <w:numFmt w:val="decimal"/>
      <w:suff w:val="nothing"/>
      <w:lvlText w:val="%1、"/>
      <w:lvlJc w:val="left"/>
    </w:lvl>
  </w:abstractNum>
  <w:abstractNum w:abstractNumId="3">
    <w:nsid w:val="54F5BCE6"/>
    <w:multiLevelType w:val="singleLevel"/>
    <w:tmpl w:val="54F5BCE6"/>
    <w:lvl w:ilvl="0" w:tentative="0">
      <w:start w:val="2"/>
      <w:numFmt w:val="decimal"/>
      <w:suff w:val="nothing"/>
      <w:lvlText w:val="%1、"/>
      <w:lvlJc w:val="left"/>
    </w:lvl>
  </w:abstractNum>
  <w:abstractNum w:abstractNumId="4">
    <w:nsid w:val="579DA81A"/>
    <w:multiLevelType w:val="singleLevel"/>
    <w:tmpl w:val="579DA81A"/>
    <w:lvl w:ilvl="0" w:tentative="0">
      <w:start w:val="2"/>
      <w:numFmt w:val="chineseCounting"/>
      <w:suff w:val="nothing"/>
      <w:lvlText w:val="（%1）"/>
      <w:lvlJc w:val="left"/>
      <w:rPr>
        <w:rFonts w:hint="eastAsia"/>
      </w:rPr>
    </w:lvl>
  </w:abstractNum>
  <w:num w:numId="1">
    <w:abstractNumId w:val="2"/>
  </w:num>
  <w:num w:numId="2">
    <w:abstractNumId w:val="4"/>
  </w:num>
  <w:num w:numId="3">
    <w:abstractNumId w:val="1"/>
  </w:num>
  <w:num w:numId="4">
    <w:abstractNumId w:val="1"/>
    <w:lvlOverride w:ilvl="0">
      <w:startOverride w:val="4"/>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D45A9C"/>
    <w:rsid w:val="0A2B26BF"/>
    <w:rsid w:val="0DD45A9C"/>
    <w:rsid w:val="30C60123"/>
    <w:rsid w:val="313F486B"/>
    <w:rsid w:val="3287771A"/>
    <w:rsid w:val="56731CF1"/>
    <w:rsid w:val="5BBA1B63"/>
    <w:rsid w:val="663F68A5"/>
    <w:rsid w:val="78AE0EAB"/>
    <w:rsid w:val="7D522DDC"/>
    <w:rsid w:val="7F195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bCs/>
    </w:rPr>
  </w:style>
  <w:style w:type="paragraph" w:customStyle="1" w:styleId="5">
    <w:name w:val="闻政正文"/>
    <w:basedOn w:val="1"/>
    <w:qFormat/>
    <w:uiPriority w:val="99"/>
    <w:pPr>
      <w:spacing w:line="500" w:lineRule="exact"/>
      <w:ind w:firstLine="883" w:firstLineChars="200"/>
    </w:pPr>
    <w:rPr>
      <w:rFonts w:ascii="Times New Roman" w:hAnsi="Times New Roman" w:eastAsia="仿宋_GB2312" w:cs="Times New Roman"/>
      <w:kern w:val="0"/>
      <w:sz w:val="28"/>
      <w:szCs w:val="28"/>
    </w:rPr>
  </w:style>
  <w:style w:type="paragraph" w:customStyle="1" w:styleId="6">
    <w:name w:val="Body text|1"/>
    <w:basedOn w:val="1"/>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7">
    <w:name w:val="Other|1"/>
    <w:basedOn w:val="1"/>
    <w:qFormat/>
    <w:uiPriority w:val="0"/>
    <w:pPr>
      <w:widowControl w:val="0"/>
      <w:shd w:val="clear" w:color="auto" w:fill="auto"/>
      <w:spacing w:line="420" w:lineRule="auto"/>
      <w:ind w:firstLine="400"/>
    </w:pPr>
    <w:rPr>
      <w:rFonts w:ascii="宋体" w:hAnsi="宋体" w:eastAsia="宋体" w:cs="宋体"/>
      <w:sz w:val="30"/>
      <w:szCs w:val="30"/>
      <w:u w:val="none"/>
      <w:shd w:val="clear" w:color="auto" w:fill="auto"/>
      <w:lang w:val="zh-TW" w:eastAsia="zh-TW" w:bidi="zh-TW"/>
    </w:rPr>
  </w:style>
  <w:style w:type="paragraph" w:customStyle="1" w:styleId="8">
    <w:name w:val="闻政-正文三级标题"/>
    <w:basedOn w:val="1"/>
    <w:next w:val="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paragraph" w:customStyle="1" w:styleId="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0">
    <w:name w:val="Header or footer|2"/>
    <w:basedOn w:val="1"/>
    <w:qFormat/>
    <w:uiPriority w:val="0"/>
    <w:pPr>
      <w:widowControl w:val="0"/>
      <w:shd w:val="clear" w:color="auto" w:fill="auto"/>
    </w:pPr>
    <w:rPr>
      <w:sz w:val="20"/>
      <w:szCs w:val="20"/>
      <w:u w:val="none"/>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2020-04-29T11:33:00Z</dcterms:created>
  <dc:creator>来自小岛的逗比女王</dc:creator>
  <cp:lastModifiedBy>Administrator</cp:lastModifiedBy>
  <dcterms:modified xsi:type="dcterms:W3CDTF">2020-05-28T12:41:39Z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