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both"/>
        <w:rPr>
          <w:rFonts w:hint="eastAsia" w:ascii="仿宋_GB2312" w:hAnsi="仿宋_GB2312" w:eastAsia="仿宋_GB2312" w:cs="仿宋_GB2312"/>
          <w:b/>
          <w:bCs/>
          <w:color w:val="000000"/>
          <w:kern w:val="0"/>
          <w:sz w:val="44"/>
          <w:szCs w:val="44"/>
          <w:lang w:eastAsia="zh-CN" w:bidi="ar"/>
        </w:rPr>
      </w:pPr>
    </w:p>
    <w:p>
      <w:pPr>
        <w:spacing w:line="560" w:lineRule="exact"/>
        <w:jc w:val="center"/>
        <w:rPr>
          <w:rFonts w:hint="eastAsia" w:ascii="仿宋_GB2312" w:hAnsi="仿宋_GB2312" w:eastAsia="仿宋_GB2312" w:cs="仿宋_GB2312"/>
          <w:b/>
          <w:bCs/>
          <w:color w:val="000000"/>
          <w:kern w:val="0"/>
          <w:sz w:val="44"/>
          <w:szCs w:val="44"/>
          <w:lang w:eastAsia="zh-CN" w:bidi="ar"/>
        </w:rPr>
      </w:pPr>
      <w:r>
        <w:rPr>
          <w:rFonts w:hint="eastAsia" w:ascii="仿宋_GB2312" w:hAnsi="仿宋_GB2312" w:eastAsia="仿宋_GB2312" w:cs="仿宋_GB2312"/>
          <w:b/>
          <w:bCs/>
          <w:color w:val="000000"/>
          <w:kern w:val="0"/>
          <w:sz w:val="44"/>
          <w:szCs w:val="44"/>
          <w:highlight w:val="none"/>
          <w:lang w:eastAsia="zh-CN" w:bidi="ar"/>
        </w:rPr>
        <w:t>乌尔禾区</w:t>
      </w:r>
      <w:bookmarkStart w:id="8" w:name="_GoBack"/>
      <w:bookmarkEnd w:id="8"/>
      <w:r>
        <w:rPr>
          <w:rFonts w:hint="eastAsia" w:ascii="仿宋_GB2312" w:hAnsi="仿宋_GB2312" w:eastAsia="仿宋_GB2312" w:cs="仿宋_GB2312"/>
          <w:b/>
          <w:bCs/>
          <w:color w:val="000000"/>
          <w:kern w:val="0"/>
          <w:sz w:val="44"/>
          <w:szCs w:val="44"/>
          <w:lang w:eastAsia="zh-CN" w:bidi="ar"/>
        </w:rPr>
        <w:t>项目支出绩效评价报告</w:t>
      </w:r>
    </w:p>
    <w:p>
      <w:pPr>
        <w:spacing w:line="560" w:lineRule="exact"/>
        <w:jc w:val="center"/>
        <w:rPr>
          <w:rFonts w:hint="eastAsia" w:ascii="仿宋_GB2312" w:hAnsi="仿宋_GB2312" w:eastAsia="仿宋_GB2312" w:cs="仿宋_GB2312"/>
          <w:b/>
          <w:bCs/>
          <w:color w:val="000000"/>
          <w:kern w:val="0"/>
          <w:sz w:val="44"/>
          <w:szCs w:val="44"/>
          <w:lang w:eastAsia="zh-CN" w:bidi="ar"/>
        </w:rPr>
      </w:pPr>
    </w:p>
    <w:p>
      <w:pPr>
        <w:spacing w:line="560" w:lineRule="exact"/>
        <w:jc w:val="center"/>
        <w:rPr>
          <w:rFonts w:hint="eastAsia" w:ascii="仿宋_GB2312" w:hAnsi="仿宋_GB2312" w:eastAsia="仿宋_GB2312" w:cs="仿宋_GB2312"/>
          <w:b/>
          <w:bCs/>
          <w:color w:val="000000"/>
          <w:kern w:val="0"/>
          <w:sz w:val="44"/>
          <w:szCs w:val="44"/>
          <w:lang w:eastAsia="zh-CN" w:bidi="ar"/>
        </w:rPr>
      </w:pPr>
      <w:r>
        <w:rPr>
          <w:rFonts w:hint="eastAsia" w:ascii="仿宋_GB2312" w:hAnsi="仿宋_GB2312" w:eastAsia="仿宋_GB2312" w:cs="仿宋_GB2312"/>
          <w:b/>
          <w:bCs/>
          <w:color w:val="000000"/>
          <w:kern w:val="0"/>
          <w:sz w:val="44"/>
          <w:szCs w:val="44"/>
          <w:lang w:eastAsia="zh-CN" w:bidi="ar"/>
        </w:rPr>
        <w:t>（2020年度）</w:t>
      </w:r>
    </w:p>
    <w:p>
      <w:pPr>
        <w:spacing w:line="480" w:lineRule="auto"/>
        <w:jc w:val="center"/>
        <w:rPr>
          <w:rFonts w:hint="eastAsia" w:ascii="仿宋_GB2312" w:hAnsi="仿宋_GB2312" w:eastAsia="仿宋_GB2312" w:cs="仿宋_GB2312"/>
          <w:b/>
          <w:kern w:val="0"/>
          <w:sz w:val="50"/>
          <w:szCs w:val="50"/>
          <w:lang w:eastAsia="zh-CN" w:bidi="en-US"/>
        </w:rPr>
      </w:pPr>
    </w:p>
    <w:p>
      <w:pPr>
        <w:spacing w:line="480" w:lineRule="auto"/>
        <w:jc w:val="center"/>
        <w:rPr>
          <w:rFonts w:hint="eastAsia" w:ascii="仿宋_GB2312" w:hAnsi="仿宋_GB2312" w:eastAsia="仿宋_GB2312" w:cs="仿宋_GB2312"/>
          <w:b/>
          <w:kern w:val="0"/>
          <w:sz w:val="50"/>
          <w:szCs w:val="50"/>
          <w:lang w:eastAsia="zh-CN" w:bidi="en-US"/>
        </w:rPr>
      </w:pPr>
    </w:p>
    <w:p>
      <w:pPr>
        <w:spacing w:line="480" w:lineRule="auto"/>
        <w:jc w:val="center"/>
        <w:rPr>
          <w:rFonts w:hint="eastAsia" w:ascii="仿宋_GB2312" w:hAnsi="仿宋_GB2312" w:eastAsia="仿宋_GB2312" w:cs="仿宋_GB2312"/>
          <w:b/>
          <w:kern w:val="0"/>
          <w:sz w:val="50"/>
          <w:szCs w:val="50"/>
          <w:lang w:eastAsia="zh-CN" w:bidi="en-US"/>
        </w:rPr>
      </w:pPr>
    </w:p>
    <w:p>
      <w:pPr>
        <w:spacing w:line="480" w:lineRule="auto"/>
        <w:jc w:val="center"/>
        <w:rPr>
          <w:rFonts w:hint="eastAsia" w:ascii="仿宋_GB2312" w:hAnsi="仿宋_GB2312" w:eastAsia="仿宋_GB2312" w:cs="仿宋_GB2312"/>
          <w:b/>
          <w:kern w:val="0"/>
          <w:sz w:val="50"/>
          <w:szCs w:val="50"/>
          <w:lang w:eastAsia="zh-CN" w:bidi="en-US"/>
        </w:rPr>
      </w:pPr>
    </w:p>
    <w:p>
      <w:pPr>
        <w:spacing w:line="480" w:lineRule="auto"/>
        <w:jc w:val="center"/>
        <w:rPr>
          <w:rFonts w:hint="eastAsia" w:ascii="仿宋_GB2312" w:hAnsi="仿宋_GB2312" w:eastAsia="仿宋_GB2312" w:cs="仿宋_GB2312"/>
          <w:b/>
          <w:kern w:val="0"/>
          <w:sz w:val="50"/>
          <w:szCs w:val="50"/>
          <w:lang w:eastAsia="zh-CN" w:bidi="en-US"/>
        </w:rPr>
      </w:pPr>
    </w:p>
    <w:p>
      <w:pPr>
        <w:spacing w:line="560" w:lineRule="exact"/>
        <w:rPr>
          <w:rFonts w:hint="eastAsia" w:ascii="仿宋_GB2312" w:hAnsi="仿宋_GB2312" w:eastAsia="仿宋_GB2312" w:cs="仿宋_GB2312"/>
          <w:color w:val="000000"/>
          <w:kern w:val="0"/>
          <w:sz w:val="36"/>
          <w:szCs w:val="36"/>
          <w:lang w:bidi="ar"/>
        </w:rPr>
      </w:pPr>
      <w:r>
        <w:rPr>
          <w:rFonts w:hint="eastAsia" w:ascii="仿宋_GB2312" w:hAnsi="仿宋_GB2312" w:eastAsia="仿宋_GB2312" w:cs="仿宋_GB2312"/>
          <w:color w:val="000000"/>
          <w:kern w:val="0"/>
          <w:sz w:val="36"/>
          <w:szCs w:val="36"/>
          <w:lang w:bidi="ar"/>
        </w:rPr>
        <w:t>项目名称：</w:t>
      </w:r>
      <w:r>
        <w:rPr>
          <w:rFonts w:hint="eastAsia" w:ascii="仿宋_GB2312" w:hAnsi="仿宋_GB2312" w:eastAsia="仿宋_GB2312" w:cs="仿宋_GB2312"/>
          <w:color w:val="000000"/>
          <w:kern w:val="0"/>
          <w:sz w:val="36"/>
          <w:szCs w:val="36"/>
          <w:lang w:eastAsia="zh-CN" w:bidi="ar"/>
        </w:rPr>
        <w:t>投资审计专项经费</w:t>
      </w:r>
    </w:p>
    <w:p>
      <w:pPr>
        <w:spacing w:line="560" w:lineRule="exact"/>
        <w:rPr>
          <w:rFonts w:hint="eastAsia" w:ascii="仿宋_GB2312" w:hAnsi="仿宋_GB2312" w:eastAsia="仿宋_GB2312" w:cs="仿宋_GB2312"/>
          <w:color w:val="000000"/>
          <w:kern w:val="0"/>
          <w:sz w:val="36"/>
          <w:szCs w:val="36"/>
          <w:lang w:bidi="ar"/>
        </w:rPr>
      </w:pPr>
    </w:p>
    <w:p>
      <w:pPr>
        <w:spacing w:line="560" w:lineRule="exact"/>
        <w:rPr>
          <w:rFonts w:hint="eastAsia" w:ascii="仿宋_GB2312" w:hAnsi="仿宋_GB2312" w:eastAsia="仿宋_GB2312" w:cs="仿宋_GB2312"/>
          <w:color w:val="000000"/>
          <w:kern w:val="0"/>
          <w:sz w:val="36"/>
          <w:szCs w:val="36"/>
          <w:lang w:bidi="ar"/>
        </w:rPr>
      </w:pPr>
      <w:r>
        <w:rPr>
          <w:rFonts w:hint="eastAsia" w:ascii="仿宋_GB2312" w:hAnsi="仿宋_GB2312" w:eastAsia="仿宋_GB2312" w:cs="仿宋_GB2312"/>
          <w:color w:val="000000"/>
          <w:kern w:val="0"/>
          <w:sz w:val="36"/>
          <w:szCs w:val="36"/>
          <w:lang w:bidi="ar"/>
        </w:rPr>
        <w:t>项目单位：乌尔禾区审计局</w:t>
      </w:r>
    </w:p>
    <w:p>
      <w:pPr>
        <w:spacing w:line="560" w:lineRule="exact"/>
        <w:rPr>
          <w:rFonts w:hint="eastAsia" w:ascii="仿宋_GB2312" w:hAnsi="仿宋_GB2312" w:eastAsia="仿宋_GB2312" w:cs="仿宋_GB2312"/>
          <w:color w:val="000000"/>
          <w:kern w:val="0"/>
          <w:sz w:val="36"/>
          <w:szCs w:val="36"/>
          <w:lang w:bidi="ar"/>
        </w:rPr>
      </w:pPr>
    </w:p>
    <w:p>
      <w:pPr>
        <w:spacing w:line="560" w:lineRule="exact"/>
        <w:rPr>
          <w:rFonts w:hint="eastAsia" w:ascii="仿宋_GB2312" w:hAnsi="仿宋_GB2312" w:eastAsia="仿宋_GB2312" w:cs="仿宋_GB2312"/>
          <w:color w:val="000000"/>
          <w:kern w:val="0"/>
          <w:sz w:val="36"/>
          <w:szCs w:val="36"/>
          <w:lang w:bidi="ar"/>
        </w:rPr>
      </w:pPr>
      <w:r>
        <w:rPr>
          <w:rFonts w:hint="eastAsia" w:ascii="仿宋_GB2312" w:hAnsi="仿宋_GB2312" w:eastAsia="仿宋_GB2312" w:cs="仿宋_GB2312"/>
          <w:color w:val="000000"/>
          <w:kern w:val="0"/>
          <w:sz w:val="36"/>
          <w:szCs w:val="36"/>
          <w:lang w:bidi="ar"/>
        </w:rPr>
        <w:t>主管部门：乌尔禾区审计局</w:t>
      </w:r>
    </w:p>
    <w:p>
      <w:pPr>
        <w:spacing w:line="560" w:lineRule="exact"/>
        <w:rPr>
          <w:rFonts w:hint="eastAsia" w:ascii="仿宋_GB2312" w:hAnsi="仿宋_GB2312" w:eastAsia="仿宋_GB2312" w:cs="仿宋_GB2312"/>
          <w:color w:val="000000"/>
          <w:kern w:val="0"/>
          <w:sz w:val="36"/>
          <w:szCs w:val="36"/>
          <w:lang w:bidi="ar"/>
        </w:rPr>
      </w:pPr>
    </w:p>
    <w:p>
      <w:pPr>
        <w:spacing w:line="560" w:lineRule="exact"/>
        <w:rPr>
          <w:rFonts w:hint="eastAsia" w:ascii="仿宋_GB2312" w:hAnsi="仿宋_GB2312" w:eastAsia="仿宋_GB2312" w:cs="仿宋_GB2312"/>
          <w:color w:val="000000"/>
          <w:kern w:val="0"/>
          <w:sz w:val="36"/>
          <w:szCs w:val="36"/>
          <w:lang w:bidi="ar"/>
        </w:rPr>
      </w:pPr>
    </w:p>
    <w:p>
      <w:pPr>
        <w:spacing w:line="560" w:lineRule="exact"/>
        <w:rPr>
          <w:rFonts w:hint="eastAsia" w:ascii="仿宋_GB2312" w:hAnsi="仿宋_GB2312" w:eastAsia="仿宋_GB2312" w:cs="仿宋_GB2312"/>
          <w:color w:val="000000"/>
          <w:kern w:val="0"/>
          <w:sz w:val="36"/>
          <w:szCs w:val="36"/>
          <w:lang w:bidi="ar"/>
        </w:rPr>
      </w:pPr>
    </w:p>
    <w:p>
      <w:pPr>
        <w:spacing w:line="560" w:lineRule="exact"/>
        <w:jc w:val="center"/>
        <w:rPr>
          <w:rFonts w:hint="eastAsia" w:ascii="仿宋_GB2312" w:hAnsi="仿宋_GB2312" w:eastAsia="仿宋_GB2312" w:cs="仿宋_GB2312"/>
          <w:color w:val="000000"/>
          <w:kern w:val="0"/>
          <w:sz w:val="36"/>
          <w:szCs w:val="36"/>
          <w:lang w:bidi="ar"/>
        </w:rPr>
      </w:pPr>
      <w:r>
        <w:rPr>
          <w:rFonts w:hint="eastAsia" w:ascii="仿宋_GB2312" w:hAnsi="仿宋_GB2312" w:eastAsia="仿宋_GB2312" w:cs="仿宋_GB2312"/>
          <w:color w:val="000000"/>
          <w:kern w:val="0"/>
          <w:sz w:val="36"/>
          <w:szCs w:val="36"/>
          <w:lang w:bidi="ar"/>
        </w:rPr>
        <w:t>2021年3月4日</w:t>
      </w:r>
    </w:p>
    <w:p>
      <w:pPr>
        <w:rPr>
          <w:rFonts w:ascii="宋体" w:hAnsi="宋体" w:eastAsia="宋体" w:cs="Arial"/>
          <w:b/>
          <w:bCs/>
          <w:sz w:val="36"/>
          <w:szCs w:val="36"/>
        </w:rPr>
      </w:pPr>
    </w:p>
    <w:p>
      <w:pPr>
        <w:rPr>
          <w:rFonts w:ascii="宋体" w:hAnsi="宋体" w:eastAsia="宋体" w:cs="Arial"/>
          <w:b/>
          <w:bCs/>
          <w:sz w:val="36"/>
          <w:szCs w:val="36"/>
        </w:rPr>
      </w:pP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rPr>
          <w:rFonts w:hint="eastAsia" w:ascii="黑体" w:hAnsi="黑体" w:eastAsia="黑体" w:cs="Times New Roman"/>
          <w:sz w:val="30"/>
          <w:szCs w:val="24"/>
          <w:highlight w:val="none"/>
        </w:rPr>
      </w:pPr>
      <w:r>
        <w:rPr>
          <w:rFonts w:hint="eastAsia" w:ascii="黑体" w:hAnsi="黑体" w:eastAsia="黑体" w:cs="Times New Roman"/>
          <w:sz w:val="30"/>
          <w:szCs w:val="24"/>
          <w:highlight w:val="none"/>
          <w:lang w:eastAsia="zh-CN"/>
        </w:rPr>
        <w:t>一、</w:t>
      </w:r>
      <w:r>
        <w:rPr>
          <w:rFonts w:hint="eastAsia" w:ascii="黑体" w:hAnsi="黑体" w:eastAsia="黑体" w:cs="Times New Roman"/>
          <w:sz w:val="30"/>
          <w:szCs w:val="24"/>
          <w:highlight w:val="none"/>
        </w:rPr>
        <w:t>基本情况</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outlineLvl w:val="0"/>
        <w:rPr>
          <w:rFonts w:hint="eastAsia" w:ascii="仿宋_GB2312" w:hAnsi="Times New Roman" w:eastAsia="仿宋_GB2312" w:cs="Times New Roman"/>
          <w:sz w:val="30"/>
          <w:szCs w:val="24"/>
          <w:highlight w:val="none"/>
        </w:rPr>
      </w:pPr>
      <w:r>
        <w:rPr>
          <w:rFonts w:hint="eastAsia" w:ascii="仿宋_GB2312" w:hAnsi="Times New Roman" w:eastAsia="仿宋_GB2312" w:cs="Times New Roman"/>
          <w:sz w:val="30"/>
          <w:szCs w:val="24"/>
          <w:highlight w:val="none"/>
        </w:rPr>
        <w:t>（一）项目概况</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outlineLvl w:val="0"/>
        <w:rPr>
          <w:rFonts w:hint="eastAsia" w:ascii="仿宋_GB2312" w:hAnsi="Times New Roman" w:eastAsia="仿宋_GB2312" w:cs="Times New Roman"/>
          <w:sz w:val="30"/>
          <w:szCs w:val="24"/>
          <w:highlight w:val="none"/>
        </w:rPr>
      </w:pPr>
      <w:r>
        <w:rPr>
          <w:rFonts w:hint="eastAsia" w:ascii="仿宋_GB2312" w:hAnsi="Times New Roman" w:eastAsia="仿宋_GB2312" w:cs="Times New Roman"/>
          <w:sz w:val="30"/>
          <w:szCs w:val="24"/>
          <w:highlight w:val="none"/>
        </w:rPr>
        <w:t>1、项目背景</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outlineLvl w:val="0"/>
        <w:rPr>
          <w:rFonts w:hint="default" w:ascii="仿宋_GB2312" w:hAnsi="Times New Roman" w:eastAsia="仿宋_GB2312" w:cs="Times New Roman"/>
          <w:sz w:val="30"/>
          <w:szCs w:val="24"/>
          <w:highlight w:val="none"/>
          <w:lang w:val="en-US" w:eastAsia="zh-CN"/>
        </w:rPr>
      </w:pPr>
      <w:r>
        <w:rPr>
          <w:rFonts w:hint="eastAsia" w:ascii="仿宋_GB2312" w:hAnsi="Times New Roman" w:cs="Times New Roman"/>
          <w:sz w:val="30"/>
          <w:szCs w:val="24"/>
          <w:highlight w:val="none"/>
          <w:lang w:eastAsia="zh-CN"/>
        </w:rPr>
        <w:t>投资审计专项经费是</w:t>
      </w:r>
      <w:r>
        <w:rPr>
          <w:rFonts w:hint="eastAsia" w:ascii="仿宋_GB2312" w:hAnsi="Times New Roman" w:eastAsia="仿宋_GB2312" w:cs="Times New Roman"/>
          <w:sz w:val="30"/>
          <w:szCs w:val="24"/>
          <w:highlight w:val="none"/>
        </w:rPr>
        <w:t>有效地控制工程造价、规范工程造价管理。核减财政性投资项目资金，节约政府资金</w:t>
      </w:r>
      <w:r>
        <w:rPr>
          <w:rFonts w:hint="eastAsia" w:ascii="仿宋_GB2312" w:hAnsi="Times New Roman" w:cs="Times New Roman"/>
          <w:sz w:val="30"/>
          <w:szCs w:val="24"/>
          <w:highlight w:val="none"/>
          <w:lang w:eastAsia="zh-CN"/>
        </w:rPr>
        <w:t>的经费。</w:t>
      </w:r>
      <w:r>
        <w:rPr>
          <w:rFonts w:hint="eastAsia" w:ascii="仿宋_GB2312" w:hAnsi="Times New Roman" w:eastAsia="仿宋_GB2312" w:cs="Times New Roman"/>
          <w:sz w:val="30"/>
          <w:szCs w:val="24"/>
          <w:highlight w:val="none"/>
        </w:rPr>
        <w:t>通过委托中介机构审核、比对、查证，对送审工程不符合施工合同，或违反相关政策文件、现行计价取费标准及工程量计算规则的差错，从而有效地控制工程造价、规范工程造价管理。核减财政性投资项目资金，节约政府资金</w:t>
      </w:r>
      <w:r>
        <w:rPr>
          <w:rFonts w:hint="eastAsia" w:ascii="仿宋_GB2312" w:hAnsi="Times New Roman" w:cs="Times New Roman"/>
          <w:sz w:val="30"/>
          <w:szCs w:val="24"/>
          <w:highlight w:val="none"/>
          <w:lang w:eastAsia="zh-CN"/>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outlineLvl w:val="0"/>
        <w:rPr>
          <w:rFonts w:hint="eastAsia" w:ascii="仿宋_GB2312" w:hAnsi="Times New Roman" w:eastAsia="仿宋_GB2312" w:cs="Times New Roman"/>
          <w:sz w:val="30"/>
          <w:szCs w:val="24"/>
          <w:highlight w:val="none"/>
        </w:rPr>
      </w:pPr>
      <w:r>
        <w:rPr>
          <w:rFonts w:hint="eastAsia" w:ascii="仿宋_GB2312" w:hAnsi="Times New Roman" w:eastAsia="仿宋_GB2312" w:cs="Times New Roman"/>
          <w:sz w:val="30"/>
          <w:szCs w:val="24"/>
          <w:highlight w:val="none"/>
        </w:rPr>
        <w:t>2、主要内容</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outlineLvl w:val="0"/>
        <w:rPr>
          <w:rFonts w:hint="eastAsia" w:ascii="仿宋_GB2312" w:hAnsi="Times New Roman" w:eastAsia="仿宋_GB2312" w:cs="Times New Roman"/>
          <w:sz w:val="30"/>
          <w:szCs w:val="24"/>
          <w:highlight w:val="none"/>
        </w:rPr>
      </w:pPr>
      <w:r>
        <w:rPr>
          <w:rFonts w:hint="eastAsia" w:ascii="仿宋_GB2312" w:hAnsi="Times New Roman" w:eastAsia="仿宋_GB2312" w:cs="Times New Roman"/>
          <w:sz w:val="30"/>
          <w:szCs w:val="24"/>
          <w:highlight w:val="none"/>
          <w:lang w:eastAsia="zh-CN"/>
        </w:rPr>
        <w:t>投资审计专项经费的主要内容是</w:t>
      </w:r>
      <w:r>
        <w:rPr>
          <w:rFonts w:hint="eastAsia" w:ascii="仿宋_GB2312" w:hAnsi="Times New Roman" w:eastAsia="仿宋_GB2312" w:cs="Times New Roman"/>
          <w:sz w:val="30"/>
          <w:szCs w:val="24"/>
          <w:highlight w:val="none"/>
        </w:rPr>
        <w:t>支付委托工程咨询造价公司进行审计而产生的费用。</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outlineLvl w:val="0"/>
        <w:rPr>
          <w:rFonts w:hint="eastAsia" w:ascii="仿宋_GB2312" w:hAnsi="Times New Roman" w:eastAsia="仿宋_GB2312" w:cs="Times New Roman"/>
          <w:sz w:val="30"/>
          <w:szCs w:val="24"/>
          <w:highlight w:val="none"/>
        </w:rPr>
      </w:pPr>
      <w:r>
        <w:rPr>
          <w:rFonts w:hint="eastAsia" w:ascii="仿宋_GB2312" w:hAnsi="Times New Roman" w:cs="Times New Roman"/>
          <w:sz w:val="30"/>
          <w:szCs w:val="24"/>
          <w:highlight w:val="none"/>
          <w:lang w:val="en-US" w:eastAsia="zh-CN"/>
        </w:rPr>
        <w:t>3、</w:t>
      </w:r>
      <w:r>
        <w:rPr>
          <w:rFonts w:hint="eastAsia" w:ascii="仿宋_GB2312" w:hAnsi="Times New Roman" w:eastAsia="仿宋_GB2312" w:cs="Times New Roman"/>
          <w:sz w:val="30"/>
          <w:szCs w:val="24"/>
          <w:highlight w:val="none"/>
        </w:rPr>
        <w:t>实施情况</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outlineLvl w:val="0"/>
        <w:rPr>
          <w:rFonts w:hint="eastAsia" w:ascii="仿宋_GB2312" w:hAnsi="Times New Roman" w:eastAsia="仿宋_GB2312" w:cs="Times New Roman"/>
          <w:sz w:val="30"/>
          <w:szCs w:val="24"/>
          <w:highlight w:val="none"/>
        </w:rPr>
      </w:pPr>
      <w:r>
        <w:rPr>
          <w:rFonts w:hint="eastAsia" w:ascii="仿宋_GB2312" w:hAnsi="Times New Roman" w:eastAsia="仿宋_GB2312" w:cs="Times New Roman"/>
          <w:sz w:val="30"/>
          <w:szCs w:val="24"/>
          <w:highlight w:val="none"/>
        </w:rPr>
        <w:t>实施主体：乌尔禾区审计局，是人民政府工作部门，为正科级单位。</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outlineLvl w:val="0"/>
        <w:rPr>
          <w:rFonts w:hint="eastAsia" w:ascii="仿宋_GB2312" w:hAnsi="Times New Roman" w:eastAsia="仿宋_GB2312" w:cs="Times New Roman"/>
          <w:sz w:val="30"/>
          <w:szCs w:val="24"/>
          <w:highlight w:val="none"/>
        </w:rPr>
      </w:pPr>
      <w:r>
        <w:rPr>
          <w:rFonts w:hint="eastAsia" w:ascii="仿宋_GB2312" w:hAnsi="Times New Roman" w:eastAsia="仿宋_GB2312" w:cs="Times New Roman"/>
          <w:sz w:val="30"/>
          <w:szCs w:val="24"/>
          <w:highlight w:val="none"/>
        </w:rPr>
        <w:t>实施时间：</w:t>
      </w:r>
      <w:r>
        <w:rPr>
          <w:rFonts w:hint="eastAsia" w:ascii="仿宋_GB2312" w:hAnsi="Times New Roman" w:eastAsia="仿宋_GB2312" w:cs="Times New Roman"/>
          <w:sz w:val="30"/>
          <w:szCs w:val="24"/>
          <w:highlight w:val="none"/>
          <w:lang w:eastAsia="zh-CN"/>
        </w:rPr>
        <w:t>投资审计专项经费</w:t>
      </w:r>
      <w:r>
        <w:rPr>
          <w:rFonts w:hint="eastAsia" w:ascii="仿宋_GB2312" w:hAnsi="Times New Roman" w:eastAsia="仿宋_GB2312" w:cs="Times New Roman"/>
          <w:sz w:val="30"/>
          <w:szCs w:val="24"/>
          <w:highlight w:val="none"/>
        </w:rPr>
        <w:t>工作开展时间为2020年3月—2020年12月，属于延续性项目。</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outlineLvl w:val="0"/>
        <w:rPr>
          <w:rFonts w:hint="eastAsia" w:ascii="仿宋_GB2312" w:hAnsi="Times New Roman" w:eastAsia="仿宋_GB2312" w:cs="Times New Roman"/>
          <w:sz w:val="30"/>
          <w:szCs w:val="24"/>
          <w:highlight w:val="none"/>
          <w:lang w:eastAsia="zh-CN"/>
        </w:rPr>
      </w:pPr>
      <w:r>
        <w:rPr>
          <w:rFonts w:hint="eastAsia" w:ascii="仿宋_GB2312" w:hAnsi="Times New Roman" w:eastAsia="仿宋_GB2312" w:cs="Times New Roman"/>
          <w:sz w:val="30"/>
          <w:szCs w:val="24"/>
          <w:highlight w:val="none"/>
        </w:rPr>
        <w:t>实施结果：项目资金执行率达到了</w:t>
      </w:r>
      <w:r>
        <w:rPr>
          <w:rFonts w:hint="eastAsia" w:ascii="仿宋_GB2312" w:hAnsi="Times New Roman" w:cs="Times New Roman"/>
          <w:sz w:val="30"/>
          <w:szCs w:val="24"/>
          <w:highlight w:val="none"/>
          <w:lang w:val="en-US" w:eastAsia="zh-CN"/>
        </w:rPr>
        <w:t>100</w:t>
      </w:r>
      <w:r>
        <w:rPr>
          <w:rFonts w:hint="eastAsia" w:ascii="仿宋_GB2312" w:hAnsi="Times New Roman" w:eastAsia="仿宋_GB2312" w:cs="Times New Roman"/>
          <w:sz w:val="30"/>
          <w:szCs w:val="24"/>
          <w:highlight w:val="none"/>
        </w:rPr>
        <w:t>%,结余经费</w:t>
      </w:r>
      <w:r>
        <w:rPr>
          <w:rFonts w:hint="eastAsia" w:ascii="仿宋_GB2312" w:hAnsi="Times New Roman" w:cs="Times New Roman"/>
          <w:sz w:val="30"/>
          <w:szCs w:val="24"/>
          <w:highlight w:val="none"/>
          <w:lang w:val="en-US" w:eastAsia="zh-CN"/>
        </w:rPr>
        <w:t>0</w:t>
      </w:r>
      <w:r>
        <w:rPr>
          <w:rFonts w:hint="eastAsia" w:ascii="仿宋_GB2312" w:hAnsi="Times New Roman" w:eastAsia="仿宋_GB2312" w:cs="Times New Roman"/>
          <w:sz w:val="30"/>
          <w:szCs w:val="24"/>
          <w:highlight w:val="none"/>
        </w:rPr>
        <w:t>万元</w:t>
      </w:r>
      <w:r>
        <w:rPr>
          <w:rFonts w:hint="eastAsia" w:ascii="仿宋_GB2312" w:hAnsi="Times New Roman" w:cs="Times New Roman"/>
          <w:sz w:val="30"/>
          <w:szCs w:val="24"/>
          <w:highlight w:val="none"/>
          <w:lang w:eastAsia="zh-CN"/>
        </w:rPr>
        <w:t>。</w:t>
      </w:r>
      <w:r>
        <w:rPr>
          <w:rFonts w:hint="eastAsia" w:ascii="仿宋_GB2312" w:hAnsi="Times New Roman" w:eastAsia="仿宋_GB2312" w:cs="Times New Roman"/>
          <w:sz w:val="30"/>
          <w:szCs w:val="24"/>
          <w:highlight w:val="none"/>
        </w:rPr>
        <w:t>项目总体目标完成</w:t>
      </w:r>
      <w:r>
        <w:rPr>
          <w:rFonts w:hint="eastAsia" w:ascii="仿宋_GB2312" w:hAnsi="Times New Roman" w:cs="Times New Roman"/>
          <w:sz w:val="30"/>
          <w:szCs w:val="24"/>
          <w:highlight w:val="none"/>
          <w:lang w:val="en-US" w:eastAsia="zh-CN"/>
        </w:rPr>
        <w:t>97.15</w:t>
      </w:r>
      <w:r>
        <w:rPr>
          <w:rFonts w:hint="eastAsia" w:ascii="仿宋_GB2312" w:hAnsi="Times New Roman" w:eastAsia="仿宋_GB2312" w:cs="Times New Roman"/>
          <w:sz w:val="30"/>
          <w:szCs w:val="24"/>
          <w:highlight w:val="none"/>
        </w:rPr>
        <w:t>%</w:t>
      </w:r>
      <w:r>
        <w:rPr>
          <w:rFonts w:hint="eastAsia" w:ascii="仿宋_GB2312" w:cs="Times New Roman"/>
          <w:sz w:val="30"/>
          <w:szCs w:val="24"/>
          <w:highlight w:val="none"/>
          <w:lang w:eastAsia="zh-CN"/>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outlineLvl w:val="0"/>
        <w:rPr>
          <w:rFonts w:hint="eastAsia" w:ascii="仿宋_GB2312" w:hAnsi="Times New Roman" w:eastAsia="仿宋_GB2312" w:cs="Times New Roman"/>
          <w:sz w:val="30"/>
          <w:szCs w:val="24"/>
        </w:rPr>
      </w:pPr>
      <w:r>
        <w:rPr>
          <w:rFonts w:hint="eastAsia" w:ascii="仿宋_GB2312" w:hAnsi="Times New Roman" w:eastAsia="仿宋_GB2312" w:cs="Times New Roman"/>
          <w:sz w:val="30"/>
          <w:szCs w:val="24"/>
        </w:rPr>
        <w:t>4、资金投入情况</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outlineLvl w:val="0"/>
        <w:rPr>
          <w:rFonts w:hint="eastAsia" w:ascii="仿宋_GB2312" w:hAnsi="Times New Roman" w:eastAsia="仿宋_GB2312" w:cs="Times New Roman"/>
          <w:sz w:val="30"/>
          <w:szCs w:val="24"/>
        </w:rPr>
      </w:pPr>
      <w:r>
        <w:rPr>
          <w:rFonts w:hint="eastAsia" w:ascii="仿宋_GB2312" w:hAnsi="Times New Roman" w:eastAsia="仿宋_GB2312" w:cs="Times New Roman"/>
          <w:sz w:val="30"/>
          <w:szCs w:val="24"/>
        </w:rPr>
        <w:t>2020年度乌尔禾区审计局的</w:t>
      </w:r>
      <w:r>
        <w:rPr>
          <w:rFonts w:hint="eastAsia" w:ascii="仿宋_GB2312" w:hAnsi="Times New Roman" w:eastAsia="仿宋_GB2312" w:cs="Times New Roman"/>
          <w:sz w:val="30"/>
          <w:szCs w:val="24"/>
          <w:lang w:eastAsia="zh-CN"/>
        </w:rPr>
        <w:t>投资审计专项经费</w:t>
      </w:r>
      <w:r>
        <w:rPr>
          <w:rFonts w:hint="eastAsia" w:ascii="仿宋_GB2312" w:hAnsi="Times New Roman" w:eastAsia="仿宋_GB2312" w:cs="Times New Roman"/>
          <w:sz w:val="30"/>
          <w:szCs w:val="24"/>
        </w:rPr>
        <w:t>预算</w:t>
      </w:r>
      <w:r>
        <w:rPr>
          <w:rFonts w:hint="eastAsia" w:ascii="仿宋_GB2312" w:hAnsi="Times New Roman" w:eastAsia="仿宋_GB2312" w:cs="Times New Roman"/>
          <w:sz w:val="30"/>
          <w:szCs w:val="24"/>
          <w:lang w:val="en-US" w:eastAsia="zh-CN"/>
        </w:rPr>
        <w:t>68.63</w:t>
      </w:r>
      <w:r>
        <w:rPr>
          <w:rFonts w:hint="eastAsia" w:ascii="仿宋_GB2312" w:hAnsi="Times New Roman" w:eastAsia="仿宋_GB2312" w:cs="Times New Roman"/>
          <w:sz w:val="30"/>
          <w:szCs w:val="24"/>
        </w:rPr>
        <w:t>万元，实际到位财政资金共</w:t>
      </w:r>
      <w:r>
        <w:rPr>
          <w:rFonts w:hint="eastAsia" w:ascii="仿宋_GB2312" w:hAnsi="Times New Roman" w:eastAsia="仿宋_GB2312" w:cs="Times New Roman"/>
          <w:sz w:val="30"/>
          <w:szCs w:val="24"/>
          <w:lang w:val="en-US" w:eastAsia="zh-CN"/>
        </w:rPr>
        <w:t>68.63</w:t>
      </w:r>
      <w:r>
        <w:rPr>
          <w:rFonts w:hint="eastAsia" w:ascii="仿宋_GB2312" w:hAnsi="Times New Roman" w:eastAsia="仿宋_GB2312" w:cs="Times New Roman"/>
          <w:sz w:val="30"/>
          <w:szCs w:val="24"/>
        </w:rPr>
        <w:t>万元。</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outlineLvl w:val="0"/>
        <w:rPr>
          <w:rFonts w:hint="eastAsia" w:ascii="仿宋_GB2312" w:hAnsi="Times New Roman" w:eastAsia="仿宋_GB2312" w:cs="Times New Roman"/>
          <w:sz w:val="30"/>
          <w:szCs w:val="24"/>
        </w:rPr>
      </w:pPr>
      <w:r>
        <w:rPr>
          <w:rFonts w:hint="eastAsia" w:ascii="仿宋_GB2312" w:hAnsi="Times New Roman" w:eastAsia="仿宋_GB2312" w:cs="Times New Roman"/>
          <w:sz w:val="30"/>
          <w:szCs w:val="24"/>
        </w:rPr>
        <w:t>5、资金使用情况</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outlineLvl w:val="0"/>
        <w:rPr>
          <w:rFonts w:hint="eastAsia" w:ascii="仿宋_GB2312" w:hAnsi="Times New Roman" w:eastAsia="仿宋_GB2312"/>
          <w:sz w:val="30"/>
          <w:szCs w:val="24"/>
        </w:rPr>
      </w:pPr>
      <w:r>
        <w:rPr>
          <w:rFonts w:hint="eastAsia" w:ascii="仿宋_GB2312" w:hAnsi="Times New Roman" w:eastAsia="仿宋_GB2312" w:cs="Times New Roman"/>
          <w:sz w:val="30"/>
          <w:szCs w:val="24"/>
        </w:rPr>
        <w:t>2020年度乌尔禾区审计局的</w:t>
      </w:r>
      <w:r>
        <w:rPr>
          <w:rFonts w:hint="eastAsia" w:ascii="仿宋_GB2312" w:hAnsi="Times New Roman" w:eastAsia="仿宋_GB2312" w:cs="Times New Roman"/>
          <w:sz w:val="30"/>
          <w:szCs w:val="24"/>
          <w:lang w:eastAsia="zh-CN"/>
        </w:rPr>
        <w:t>投资审计专项经费</w:t>
      </w:r>
      <w:r>
        <w:rPr>
          <w:rFonts w:hint="eastAsia" w:ascii="仿宋_GB2312" w:hAnsi="Times New Roman" w:eastAsia="仿宋_GB2312" w:cs="Times New Roman"/>
          <w:sz w:val="30"/>
          <w:szCs w:val="24"/>
        </w:rPr>
        <w:t>共计</w:t>
      </w:r>
      <w:r>
        <w:rPr>
          <w:rFonts w:hint="eastAsia" w:ascii="仿宋_GB2312" w:hAnsi="Times New Roman" w:cs="Times New Roman"/>
          <w:sz w:val="30"/>
          <w:szCs w:val="24"/>
          <w:lang w:val="en-US" w:eastAsia="zh-CN"/>
        </w:rPr>
        <w:t>68.63</w:t>
      </w:r>
      <w:r>
        <w:rPr>
          <w:rFonts w:hint="eastAsia" w:ascii="仿宋_GB2312" w:hAnsi="Times New Roman" w:eastAsia="仿宋_GB2312" w:cs="Times New Roman"/>
          <w:sz w:val="30"/>
          <w:szCs w:val="24"/>
        </w:rPr>
        <w:t>万元。截止2020年12月31日,项目实际使用资金68.63万元，全部用于</w:t>
      </w:r>
      <w:r>
        <w:rPr>
          <w:rFonts w:hint="eastAsia" w:ascii="仿宋_GB2312" w:hAnsi="Times New Roman" w:eastAsia="仿宋_GB2312" w:cs="Times New Roman"/>
          <w:sz w:val="30"/>
          <w:szCs w:val="24"/>
          <w:lang w:eastAsia="zh-CN"/>
        </w:rPr>
        <w:t>投资审计专项经费</w:t>
      </w:r>
      <w:r>
        <w:rPr>
          <w:rFonts w:hint="eastAsia" w:ascii="仿宋_GB2312" w:hAnsi="Times New Roman" w:eastAsia="仿宋_GB2312" w:cs="Times New Roman"/>
          <w:sz w:val="30"/>
          <w:szCs w:val="24"/>
        </w:rPr>
        <w:t>委托及咨询服务</w:t>
      </w:r>
      <w:r>
        <w:rPr>
          <w:rFonts w:hint="eastAsia" w:ascii="仿宋_GB2312" w:hAnsi="Times New Roman" w:cs="Times New Roman"/>
          <w:sz w:val="30"/>
          <w:szCs w:val="24"/>
          <w:lang w:eastAsia="zh-CN"/>
        </w:rPr>
        <w:t>工作</w:t>
      </w:r>
      <w:r>
        <w:rPr>
          <w:rFonts w:hint="eastAsia" w:ascii="仿宋_GB2312" w:hAnsi="Times New Roman" w:eastAsia="仿宋_GB2312" w:cs="Times New Roman"/>
          <w:sz w:val="30"/>
          <w:szCs w:val="24"/>
        </w:rPr>
        <w:t>，资金执行率达到了</w:t>
      </w:r>
      <w:r>
        <w:rPr>
          <w:rFonts w:hint="eastAsia" w:ascii="仿宋_GB2312" w:hAnsi="Times New Roman" w:cs="Times New Roman"/>
          <w:sz w:val="30"/>
          <w:szCs w:val="24"/>
          <w:lang w:val="en-US" w:eastAsia="zh-CN"/>
        </w:rPr>
        <w:t>100</w:t>
      </w:r>
      <w:r>
        <w:rPr>
          <w:rFonts w:hint="eastAsia" w:ascii="仿宋_GB2312" w:hAnsi="Times New Roman" w:eastAsia="仿宋_GB2312" w:cs="Times New Roman"/>
          <w:sz w:val="30"/>
          <w:szCs w:val="24"/>
        </w:rPr>
        <w:t>%,结余经费</w:t>
      </w:r>
      <w:r>
        <w:rPr>
          <w:rFonts w:hint="eastAsia" w:ascii="仿宋_GB2312" w:hAnsi="Times New Roman" w:cs="Times New Roman"/>
          <w:sz w:val="30"/>
          <w:szCs w:val="24"/>
          <w:lang w:val="en-US" w:eastAsia="zh-CN"/>
        </w:rPr>
        <w:t>0</w:t>
      </w:r>
      <w:r>
        <w:rPr>
          <w:rFonts w:hint="eastAsia" w:ascii="仿宋_GB2312" w:hAnsi="Times New Roman" w:eastAsia="仿宋_GB2312" w:cs="Times New Roman"/>
          <w:sz w:val="30"/>
          <w:szCs w:val="24"/>
        </w:rPr>
        <w:t>万元</w:t>
      </w:r>
      <w:r>
        <w:rPr>
          <w:rFonts w:hint="eastAsia" w:ascii="仿宋_GB2312" w:hAnsi="Times New Roman" w:cs="Times New Roman"/>
          <w:sz w:val="30"/>
          <w:szCs w:val="24"/>
          <w:lang w:eastAsia="zh-CN"/>
        </w:rPr>
        <w:t>，</w:t>
      </w:r>
      <w:r>
        <w:rPr>
          <w:rFonts w:hint="eastAsia" w:ascii="仿宋_GB2312" w:hAnsi="Times New Roman" w:eastAsia="仿宋_GB2312"/>
          <w:sz w:val="30"/>
          <w:szCs w:val="24"/>
        </w:rPr>
        <w:t>资金使用情况如下：</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outlineLvl w:val="0"/>
        <w:rPr>
          <w:rFonts w:hint="eastAsia" w:ascii="仿宋_GB2312" w:hAnsi="Times New Roman" w:eastAsia="仿宋_GB2312"/>
          <w:sz w:val="30"/>
          <w:szCs w:val="24"/>
          <w:lang w:eastAsia="zh-CN"/>
        </w:rPr>
      </w:pPr>
      <w:r>
        <w:rPr>
          <w:rFonts w:hint="eastAsia" w:ascii="仿宋_GB2312" w:hAnsi="Times New Roman" w:eastAsia="仿宋_GB2312"/>
          <w:sz w:val="30"/>
          <w:szCs w:val="24"/>
        </w:rPr>
        <w:t>①</w:t>
      </w:r>
      <w:r>
        <w:rPr>
          <w:rFonts w:hint="eastAsia" w:ascii="仿宋_GB2312" w:hAnsi="Times New Roman"/>
          <w:sz w:val="30"/>
          <w:szCs w:val="24"/>
          <w:lang w:eastAsia="zh-CN"/>
        </w:rPr>
        <w:t>委托建设项目审计</w:t>
      </w:r>
      <w:r>
        <w:rPr>
          <w:rFonts w:hint="eastAsia" w:ascii="仿宋_GB2312" w:hAnsi="Times New Roman"/>
          <w:sz w:val="30"/>
          <w:szCs w:val="24"/>
          <w:lang w:val="en-US" w:eastAsia="zh-CN"/>
        </w:rPr>
        <w:t>10</w:t>
      </w:r>
      <w:r>
        <w:rPr>
          <w:rFonts w:hint="eastAsia" w:ascii="仿宋_GB2312" w:hAnsi="Times New Roman" w:eastAsia="仿宋_GB2312"/>
          <w:sz w:val="30"/>
          <w:szCs w:val="24"/>
          <w:lang w:val="en-US" w:eastAsia="zh-CN"/>
        </w:rPr>
        <w:t>个，共拨付</w:t>
      </w:r>
      <w:r>
        <w:rPr>
          <w:rFonts w:hint="eastAsia" w:ascii="仿宋_GB2312" w:hAnsi="Times New Roman"/>
          <w:sz w:val="30"/>
          <w:szCs w:val="24"/>
          <w:lang w:val="en-US" w:eastAsia="zh-CN"/>
        </w:rPr>
        <w:t>68.63</w:t>
      </w:r>
      <w:r>
        <w:rPr>
          <w:rFonts w:hint="eastAsia" w:ascii="仿宋_GB2312" w:hAnsi="Times New Roman" w:eastAsia="仿宋_GB2312"/>
          <w:sz w:val="30"/>
          <w:szCs w:val="24"/>
          <w:lang w:val="en-US" w:eastAsia="zh-CN"/>
        </w:rPr>
        <w:t>万元</w:t>
      </w:r>
      <w:r>
        <w:rPr>
          <w:rFonts w:hint="eastAsia" w:ascii="仿宋_GB2312" w:hAnsi="Times New Roman" w:eastAsia="仿宋_GB2312"/>
          <w:sz w:val="30"/>
          <w:szCs w:val="24"/>
        </w:rPr>
        <w:t>。</w:t>
      </w:r>
    </w:p>
    <w:p>
      <w:pPr>
        <w:keepNext w:val="0"/>
        <w:keepLines w:val="0"/>
        <w:pageBreakBefore w:val="0"/>
        <w:numPr>
          <w:ilvl w:val="0"/>
          <w:numId w:val="1"/>
        </w:numPr>
        <w:kinsoku/>
        <w:wordWrap/>
        <w:overflowPunct/>
        <w:topLinePunct w:val="0"/>
        <w:autoSpaceDE/>
        <w:autoSpaceDN/>
        <w:bidi w:val="0"/>
        <w:adjustRightInd w:val="0"/>
        <w:snapToGrid w:val="0"/>
        <w:spacing w:line="560" w:lineRule="exact"/>
        <w:ind w:left="0" w:leftChars="0" w:firstLine="600" w:firstLineChars="200"/>
        <w:textAlignment w:val="auto"/>
        <w:rPr>
          <w:rFonts w:hint="eastAsia" w:ascii="仿宋_GB2312" w:hAnsi="Times New Roman" w:eastAsia="仿宋_GB2312" w:cs="Times New Roman"/>
          <w:sz w:val="30"/>
          <w:szCs w:val="24"/>
          <w:highlight w:val="none"/>
        </w:rPr>
      </w:pPr>
      <w:r>
        <w:rPr>
          <w:rFonts w:hint="eastAsia" w:ascii="仿宋_GB2312" w:hAnsi="Times New Roman" w:eastAsia="仿宋_GB2312" w:cs="Times New Roman"/>
          <w:sz w:val="30"/>
          <w:szCs w:val="24"/>
          <w:highlight w:val="none"/>
        </w:rPr>
        <w:t>项目绩效目标。</w:t>
      </w:r>
    </w:p>
    <w:p>
      <w:pPr>
        <w:keepNext w:val="0"/>
        <w:keepLines w:val="0"/>
        <w:pageBreakBefore w:val="0"/>
        <w:numPr>
          <w:ilvl w:val="0"/>
          <w:numId w:val="2"/>
        </w:numPr>
        <w:kinsoku/>
        <w:wordWrap/>
        <w:overflowPunct/>
        <w:topLinePunct w:val="0"/>
        <w:autoSpaceDE/>
        <w:autoSpaceDN/>
        <w:bidi w:val="0"/>
        <w:adjustRightInd w:val="0"/>
        <w:snapToGrid w:val="0"/>
        <w:spacing w:line="560" w:lineRule="exact"/>
        <w:ind w:left="0" w:leftChars="0" w:firstLine="600" w:firstLineChars="200"/>
        <w:textAlignment w:val="auto"/>
        <w:rPr>
          <w:rFonts w:hint="eastAsia" w:ascii="仿宋_GB2312" w:hAnsi="Times New Roman" w:eastAsia="仿宋_GB2312" w:cs="Times New Roman"/>
          <w:sz w:val="30"/>
          <w:szCs w:val="24"/>
          <w:highlight w:val="none"/>
        </w:rPr>
      </w:pPr>
      <w:r>
        <w:rPr>
          <w:rFonts w:hint="eastAsia" w:ascii="仿宋_GB2312" w:hAnsi="Times New Roman" w:eastAsia="仿宋_GB2312" w:cs="Times New Roman"/>
          <w:sz w:val="30"/>
          <w:szCs w:val="24"/>
          <w:highlight w:val="none"/>
        </w:rPr>
        <w:t>总体目标</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00" w:firstLineChars="200"/>
        <w:textAlignment w:val="auto"/>
        <w:rPr>
          <w:rFonts w:hint="eastAsia" w:ascii="仿宋_GB2312" w:hAnsi="Times New Roman" w:eastAsia="仿宋_GB2312" w:cs="Times New Roman"/>
          <w:sz w:val="30"/>
          <w:szCs w:val="24"/>
        </w:rPr>
      </w:pPr>
      <w:r>
        <w:rPr>
          <w:rFonts w:hint="eastAsia" w:ascii="仿宋_GB2312" w:hAnsi="Times New Roman" w:eastAsia="仿宋_GB2312" w:cs="Times New Roman"/>
          <w:sz w:val="30"/>
          <w:szCs w:val="24"/>
        </w:rPr>
        <w:t>区审计局贯彻落实党中央、自治区党委和市委关于审计工作的方针政策和决策部署，落实区委工作要求，在履行职责过程中坚持和加强对审计工作要求的坚决执行。</w:t>
      </w:r>
      <w:r>
        <w:rPr>
          <w:rFonts w:hint="eastAsia" w:ascii="仿宋_GB2312" w:cs="Times New Roman"/>
          <w:sz w:val="30"/>
          <w:szCs w:val="24"/>
          <w:lang w:eastAsia="zh-CN"/>
        </w:rPr>
        <w:t>根据相关规定，</w:t>
      </w:r>
      <w:r>
        <w:rPr>
          <w:rFonts w:hint="eastAsia" w:ascii="仿宋_GB2312" w:hAnsi="Times New Roman" w:eastAsia="仿宋_GB2312" w:cs="Times New Roman"/>
          <w:sz w:val="30"/>
          <w:szCs w:val="24"/>
        </w:rPr>
        <w:t>通过审核、比对、查证，对送审工程</w:t>
      </w:r>
      <w:r>
        <w:rPr>
          <w:rFonts w:hint="eastAsia" w:ascii="仿宋_GB2312" w:cs="Times New Roman"/>
          <w:sz w:val="30"/>
          <w:szCs w:val="24"/>
          <w:lang w:eastAsia="zh-CN"/>
        </w:rPr>
        <w:t>材料，</w:t>
      </w:r>
      <w:r>
        <w:rPr>
          <w:rFonts w:hint="eastAsia" w:ascii="仿宋_GB2312" w:hAnsi="Times New Roman" w:eastAsia="仿宋_GB2312" w:cs="Times New Roman"/>
          <w:sz w:val="30"/>
          <w:szCs w:val="24"/>
        </w:rPr>
        <w:t>从而有效地控制工程造价、规范工程造价管理。核减财政性投资项目资金，节约政府资金，确保2020年投资审计工作的顺利进行。</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00" w:firstLineChars="200"/>
        <w:textAlignment w:val="auto"/>
        <w:rPr>
          <w:rFonts w:hint="eastAsia" w:ascii="仿宋_GB2312" w:hAnsi="Times New Roman" w:eastAsia="仿宋_GB2312" w:cs="Times New Roman"/>
          <w:sz w:val="30"/>
          <w:szCs w:val="24"/>
        </w:rPr>
      </w:pPr>
      <w:r>
        <w:rPr>
          <w:rFonts w:hint="eastAsia" w:ascii="仿宋_GB2312" w:hAnsi="Times New Roman" w:eastAsia="仿宋_GB2312" w:cs="Times New Roman"/>
          <w:sz w:val="30"/>
          <w:szCs w:val="24"/>
        </w:rPr>
        <w:t>2、阶段性目标</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00" w:firstLineChars="200"/>
        <w:textAlignment w:val="auto"/>
        <w:rPr>
          <w:rFonts w:hint="eastAsia" w:ascii="仿宋_GB2312" w:hAnsi="Times New Roman" w:eastAsia="仿宋_GB2312" w:cs="Times New Roman"/>
          <w:sz w:val="30"/>
          <w:szCs w:val="24"/>
        </w:rPr>
      </w:pPr>
      <w:r>
        <w:rPr>
          <w:rFonts w:hint="eastAsia" w:ascii="仿宋_GB2312" w:hAnsi="Times New Roman" w:eastAsia="仿宋_GB2312" w:cs="Times New Roman"/>
          <w:sz w:val="30"/>
          <w:szCs w:val="24"/>
        </w:rPr>
        <w:t>核减财政性投资项目资金，节约政府资金，提高政府性投资资金的审计效率，降低审计风险。</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rPr>
          <w:rFonts w:hint="eastAsia" w:ascii="黑体" w:hAnsi="黑体" w:eastAsia="黑体" w:cs="Times New Roman"/>
          <w:sz w:val="30"/>
          <w:szCs w:val="24"/>
          <w:highlight w:val="none"/>
        </w:rPr>
      </w:pPr>
      <w:r>
        <w:rPr>
          <w:rFonts w:hint="eastAsia" w:ascii="黑体" w:hAnsi="黑体" w:eastAsia="黑体" w:cs="Times New Roman"/>
          <w:sz w:val="30"/>
          <w:szCs w:val="24"/>
          <w:highlight w:val="none"/>
          <w:lang w:eastAsia="zh-CN"/>
        </w:rPr>
        <w:t>二、</w:t>
      </w:r>
      <w:r>
        <w:rPr>
          <w:rFonts w:hint="eastAsia" w:ascii="黑体" w:hAnsi="黑体" w:eastAsia="黑体" w:cs="Times New Roman"/>
          <w:sz w:val="30"/>
          <w:szCs w:val="24"/>
          <w:highlight w:val="none"/>
        </w:rPr>
        <w:t>绩效评价工作开展情况</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rPr>
          <w:rFonts w:hint="eastAsia" w:ascii="仿宋_GB2312" w:hAnsi="Times New Roman" w:eastAsia="仿宋_GB2312" w:cs="Times New Roman"/>
          <w:sz w:val="30"/>
          <w:szCs w:val="24"/>
          <w:highlight w:val="none"/>
        </w:rPr>
      </w:pPr>
      <w:r>
        <w:rPr>
          <w:rFonts w:hint="eastAsia" w:ascii="仿宋_GB2312" w:hAnsi="Times New Roman" w:eastAsia="仿宋_GB2312" w:cs="Times New Roman"/>
          <w:sz w:val="30"/>
          <w:szCs w:val="24"/>
          <w:highlight w:val="none"/>
        </w:rPr>
        <w:t>（一）绩效评价目的、对象和范围。</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ascii="仿宋" w:hAnsi="仿宋" w:eastAsia="仿宋"/>
          <w:sz w:val="32"/>
          <w:szCs w:val="32"/>
        </w:rPr>
      </w:pPr>
      <w:r>
        <w:rPr>
          <w:rFonts w:hint="eastAsia" w:ascii="仿宋" w:hAnsi="仿宋" w:eastAsia="仿宋"/>
          <w:sz w:val="32"/>
          <w:szCs w:val="32"/>
        </w:rPr>
        <w:t>1、绩效评价目的</w:t>
      </w:r>
    </w:p>
    <w:p>
      <w:pPr>
        <w:pStyle w:val="10"/>
        <w:keepNext w:val="0"/>
        <w:keepLines w:val="0"/>
        <w:pageBreakBefore w:val="0"/>
        <w:kinsoku/>
        <w:wordWrap/>
        <w:overflowPunct/>
        <w:topLinePunct w:val="0"/>
        <w:autoSpaceDE/>
        <w:autoSpaceDN/>
        <w:bidi w:val="0"/>
        <w:adjustRightInd w:val="0"/>
        <w:snapToGrid w:val="0"/>
        <w:spacing w:line="560" w:lineRule="exact"/>
        <w:ind w:left="0" w:leftChars="0" w:firstLine="600"/>
        <w:textAlignment w:val="auto"/>
        <w:rPr>
          <w:rFonts w:hint="eastAsia" w:ascii="仿宋_GB2312" w:hAnsi="Times New Roman" w:cs="Times New Roman"/>
          <w:sz w:val="30"/>
          <w:szCs w:val="24"/>
          <w:highlight w:val="none"/>
          <w:lang w:val="en-US" w:eastAsia="zh-CN"/>
        </w:rPr>
      </w:pPr>
      <w:r>
        <w:rPr>
          <w:rFonts w:hint="eastAsia" w:ascii="仿宋_GB2312" w:hAnsi="Times New Roman" w:cs="Times New Roman"/>
          <w:sz w:val="30"/>
          <w:szCs w:val="24"/>
          <w:highlight w:val="none"/>
          <w:lang w:val="en-US" w:eastAsia="zh-CN"/>
        </w:rPr>
        <w:t>通过绩效评价，客观地评判项目的管理绩效，了解和掌握2投资审计专项经费的具体情况，评价该项目资金安排的科学性、合理性、规范性和资金的使用成效，及时总结项目管理经验，完善项目管理办法，提高项目管理水平和资金使用效益。促使项目承担单位根据绩效评价中发现的问题，认真加以整改，及时调整和完善单位的工作计划和绩效目标并加强项目管理，提高管理水平。</w:t>
      </w:r>
    </w:p>
    <w:p>
      <w:pPr>
        <w:pStyle w:val="10"/>
        <w:keepNext w:val="0"/>
        <w:keepLines w:val="0"/>
        <w:pageBreakBefore w:val="0"/>
        <w:kinsoku/>
        <w:wordWrap/>
        <w:overflowPunct/>
        <w:topLinePunct w:val="0"/>
        <w:autoSpaceDE/>
        <w:autoSpaceDN/>
        <w:bidi w:val="0"/>
        <w:adjustRightInd w:val="0"/>
        <w:snapToGrid w:val="0"/>
        <w:spacing w:line="560" w:lineRule="exact"/>
        <w:ind w:left="0" w:leftChars="0" w:firstLine="600"/>
        <w:textAlignment w:val="auto"/>
        <w:rPr>
          <w:rFonts w:hint="eastAsia" w:ascii="仿宋_GB2312" w:hAnsi="Times New Roman" w:cs="Times New Roman"/>
          <w:sz w:val="30"/>
          <w:szCs w:val="24"/>
          <w:highlight w:val="none"/>
        </w:rPr>
      </w:pPr>
      <w:r>
        <w:rPr>
          <w:rFonts w:hint="eastAsia" w:ascii="仿宋_GB2312" w:hAnsi="Times New Roman" w:cs="Times New Roman"/>
          <w:sz w:val="30"/>
          <w:szCs w:val="24"/>
          <w:highlight w:val="none"/>
        </w:rPr>
        <w:t>同时将绩效评价结果与项目预算挂钩，为下年度资金的使用提供决策参考，进一步提高资金的使用效益及配置效率，实现财政资源配置效益与效率最大化。</w:t>
      </w:r>
    </w:p>
    <w:p>
      <w:pPr>
        <w:pStyle w:val="10"/>
        <w:keepNext w:val="0"/>
        <w:keepLines w:val="0"/>
        <w:pageBreakBefore w:val="0"/>
        <w:kinsoku/>
        <w:wordWrap/>
        <w:overflowPunct/>
        <w:topLinePunct w:val="0"/>
        <w:autoSpaceDE/>
        <w:autoSpaceDN/>
        <w:bidi w:val="0"/>
        <w:adjustRightInd w:val="0"/>
        <w:snapToGrid w:val="0"/>
        <w:spacing w:line="560" w:lineRule="exact"/>
        <w:ind w:left="0" w:leftChars="0" w:firstLine="600"/>
        <w:textAlignment w:val="auto"/>
        <w:rPr>
          <w:rFonts w:hint="eastAsia" w:ascii="仿宋_GB2312" w:hAnsi="Times New Roman" w:cs="Times New Roman"/>
          <w:sz w:val="30"/>
          <w:szCs w:val="24"/>
          <w:highlight w:val="none"/>
        </w:rPr>
      </w:pPr>
      <w:r>
        <w:rPr>
          <w:rFonts w:hint="eastAsia" w:ascii="仿宋_GB2312" w:hAnsi="Times New Roman" w:cs="Times New Roman"/>
          <w:sz w:val="30"/>
          <w:szCs w:val="24"/>
          <w:highlight w:val="none"/>
          <w:lang w:val="en-US" w:eastAsia="zh-CN"/>
        </w:rPr>
        <w:t>2、</w:t>
      </w:r>
      <w:r>
        <w:rPr>
          <w:rFonts w:hint="eastAsia" w:ascii="仿宋_GB2312" w:hAnsi="Times New Roman" w:cs="Times New Roman"/>
          <w:sz w:val="30"/>
          <w:szCs w:val="24"/>
          <w:highlight w:val="none"/>
        </w:rPr>
        <w:t>绩效评价对象</w:t>
      </w:r>
    </w:p>
    <w:p>
      <w:pPr>
        <w:pStyle w:val="10"/>
        <w:keepNext w:val="0"/>
        <w:keepLines w:val="0"/>
        <w:pageBreakBefore w:val="0"/>
        <w:kinsoku/>
        <w:wordWrap/>
        <w:overflowPunct/>
        <w:topLinePunct w:val="0"/>
        <w:autoSpaceDE/>
        <w:autoSpaceDN/>
        <w:bidi w:val="0"/>
        <w:adjustRightInd w:val="0"/>
        <w:snapToGrid w:val="0"/>
        <w:spacing w:line="560" w:lineRule="exact"/>
        <w:ind w:left="0" w:leftChars="0" w:firstLine="600"/>
        <w:textAlignment w:val="auto"/>
        <w:rPr>
          <w:rFonts w:hint="eastAsia" w:ascii="仿宋_GB2312" w:hAnsi="Times New Roman" w:cs="Times New Roman"/>
          <w:sz w:val="30"/>
          <w:szCs w:val="24"/>
          <w:highlight w:val="none"/>
        </w:rPr>
      </w:pPr>
      <w:r>
        <w:rPr>
          <w:rFonts w:hint="eastAsia" w:ascii="仿宋_GB2312" w:hAnsi="Times New Roman" w:cs="Times New Roman"/>
          <w:sz w:val="30"/>
          <w:szCs w:val="24"/>
          <w:highlight w:val="none"/>
        </w:rPr>
        <w:t>对</w:t>
      </w:r>
      <w:r>
        <w:rPr>
          <w:rFonts w:hint="eastAsia" w:ascii="仿宋_GB2312" w:hAnsi="Times New Roman" w:cs="Times New Roman"/>
          <w:sz w:val="30"/>
          <w:szCs w:val="24"/>
          <w:highlight w:val="none"/>
          <w:lang w:eastAsia="zh-CN"/>
        </w:rPr>
        <w:t>投资审计专项经费</w:t>
      </w:r>
      <w:r>
        <w:rPr>
          <w:rFonts w:hint="eastAsia" w:ascii="仿宋_GB2312" w:hAnsi="Times New Roman" w:cs="Times New Roman"/>
          <w:sz w:val="30"/>
          <w:szCs w:val="24"/>
          <w:highlight w:val="none"/>
        </w:rPr>
        <w:t>从预算编制合理性、资金使用合规性、项目管理的规范性、实施情况、总体绩效目标、各项绩效指标完成情况以及预算执行情况进行科学性评价。</w:t>
      </w:r>
    </w:p>
    <w:p>
      <w:pPr>
        <w:pStyle w:val="10"/>
        <w:keepNext w:val="0"/>
        <w:keepLines w:val="0"/>
        <w:pageBreakBefore w:val="0"/>
        <w:kinsoku/>
        <w:wordWrap/>
        <w:overflowPunct/>
        <w:topLinePunct w:val="0"/>
        <w:autoSpaceDE/>
        <w:autoSpaceDN/>
        <w:bidi w:val="0"/>
        <w:adjustRightInd w:val="0"/>
        <w:snapToGrid w:val="0"/>
        <w:spacing w:line="560" w:lineRule="exact"/>
        <w:ind w:left="0" w:leftChars="0" w:firstLine="600"/>
        <w:textAlignment w:val="auto"/>
        <w:rPr>
          <w:rFonts w:hint="eastAsia" w:ascii="仿宋_GB2312" w:hAnsi="Times New Roman" w:cs="Times New Roman"/>
          <w:sz w:val="30"/>
          <w:szCs w:val="24"/>
          <w:highlight w:val="none"/>
        </w:rPr>
      </w:pPr>
      <w:r>
        <w:rPr>
          <w:rFonts w:hint="eastAsia" w:ascii="仿宋_GB2312" w:hAnsi="Times New Roman" w:cs="Times New Roman"/>
          <w:sz w:val="30"/>
          <w:szCs w:val="24"/>
          <w:highlight w:val="none"/>
        </w:rPr>
        <w:t>3、绩效评价范围</w:t>
      </w:r>
    </w:p>
    <w:p>
      <w:pPr>
        <w:pStyle w:val="10"/>
        <w:keepNext w:val="0"/>
        <w:keepLines w:val="0"/>
        <w:pageBreakBefore w:val="0"/>
        <w:kinsoku/>
        <w:wordWrap/>
        <w:overflowPunct/>
        <w:topLinePunct w:val="0"/>
        <w:autoSpaceDE/>
        <w:autoSpaceDN/>
        <w:bidi w:val="0"/>
        <w:adjustRightInd w:val="0"/>
        <w:snapToGrid w:val="0"/>
        <w:spacing w:line="560" w:lineRule="exact"/>
        <w:ind w:left="0" w:leftChars="0" w:firstLine="600"/>
        <w:textAlignment w:val="auto"/>
        <w:rPr>
          <w:rFonts w:hint="eastAsia" w:ascii="仿宋_GB2312" w:hAnsi="Times New Roman" w:cs="Times New Roman"/>
          <w:sz w:val="30"/>
          <w:szCs w:val="24"/>
          <w:highlight w:val="none"/>
        </w:rPr>
      </w:pPr>
      <w:r>
        <w:rPr>
          <w:rFonts w:hint="eastAsia" w:ascii="仿宋_GB2312" w:hAnsi="Times New Roman" w:cs="Times New Roman"/>
          <w:sz w:val="30"/>
          <w:szCs w:val="24"/>
          <w:highlight w:val="none"/>
        </w:rPr>
        <w:t>本次评价从项目决策（包括绩效目标、决策过程）、项目管理（包括项目资金、项目实施）、项目产出（包括项目产出数量、产出质量、产出时效和产出成本）项目效益四个维度进行评价，评价对象为财政下达</w:t>
      </w:r>
      <w:r>
        <w:rPr>
          <w:rFonts w:hint="eastAsia" w:ascii="仿宋_GB2312" w:hAnsi="Times New Roman" w:cs="Times New Roman"/>
          <w:sz w:val="30"/>
          <w:szCs w:val="24"/>
          <w:highlight w:val="none"/>
          <w:lang w:eastAsia="zh-CN"/>
        </w:rPr>
        <w:t>投资审计专项经费</w:t>
      </w:r>
      <w:r>
        <w:rPr>
          <w:rFonts w:hint="eastAsia" w:ascii="仿宋_GB2312" w:hAnsi="Times New Roman" w:cs="Times New Roman"/>
          <w:sz w:val="30"/>
          <w:szCs w:val="24"/>
          <w:highlight w:val="none"/>
        </w:rPr>
        <w:t>，评价核心为资金的支出完成情况和效果。</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rPr>
          <w:rFonts w:hint="eastAsia" w:ascii="仿宋_GB2312" w:hAnsi="Times New Roman" w:eastAsia="仿宋_GB2312" w:cs="Times New Roman"/>
          <w:sz w:val="30"/>
          <w:szCs w:val="24"/>
          <w:highlight w:val="none"/>
        </w:rPr>
      </w:pPr>
      <w:r>
        <w:rPr>
          <w:rFonts w:hint="eastAsia" w:ascii="仿宋_GB2312" w:hAnsi="Times New Roman" w:eastAsia="仿宋_GB2312" w:cs="Times New Roman"/>
          <w:sz w:val="30"/>
          <w:szCs w:val="24"/>
          <w:highlight w:val="none"/>
        </w:rPr>
        <w:t>（二）绩效评价原则、评价指标体系（附表说明）、评价方法、评价标准等。</w:t>
      </w:r>
    </w:p>
    <w:p>
      <w:pPr>
        <w:keepNext w:val="0"/>
        <w:keepLines w:val="0"/>
        <w:pageBreakBefore w:val="0"/>
        <w:kinsoku/>
        <w:wordWrap/>
        <w:overflowPunct/>
        <w:topLinePunct w:val="0"/>
        <w:autoSpaceDE/>
        <w:autoSpaceDN/>
        <w:bidi w:val="0"/>
        <w:adjustRightInd w:val="0"/>
        <w:snapToGrid w:val="0"/>
        <w:spacing w:line="560" w:lineRule="exact"/>
        <w:ind w:left="0" w:leftChars="0" w:firstLine="585"/>
        <w:textAlignment w:val="auto"/>
        <w:rPr>
          <w:rFonts w:hint="eastAsia" w:ascii="Times New Roman" w:hAnsi="Times New Roman" w:eastAsia="仿宋_GB2312" w:cs="Times New Roman"/>
          <w:sz w:val="28"/>
          <w:szCs w:val="28"/>
          <w:highlight w:val="none"/>
        </w:rPr>
      </w:pPr>
      <w:r>
        <w:rPr>
          <w:rFonts w:hint="eastAsia" w:ascii="Times New Roman" w:hAnsi="Times New Roman" w:eastAsia="仿宋_GB2312" w:cs="Times New Roman"/>
          <w:sz w:val="28"/>
          <w:szCs w:val="28"/>
          <w:highlight w:val="none"/>
        </w:rPr>
        <w:t>1、</w:t>
      </w:r>
      <w:r>
        <w:rPr>
          <w:rFonts w:hint="eastAsia" w:ascii="仿宋_GB2312" w:hAnsi="Times New Roman" w:eastAsia="仿宋_GB2312" w:cs="Times New Roman"/>
          <w:kern w:val="2"/>
          <w:sz w:val="30"/>
          <w:szCs w:val="24"/>
          <w:lang w:val="en-US" w:eastAsia="zh-CN" w:bidi="ar-SA"/>
        </w:rPr>
        <w:t>绩效评价原则</w:t>
      </w:r>
    </w:p>
    <w:p>
      <w:pPr>
        <w:pStyle w:val="9"/>
        <w:keepNext w:val="0"/>
        <w:keepLines w:val="0"/>
        <w:pageBreakBefore w:val="0"/>
        <w:shd w:val="clear" w:color="auto" w:fill="auto"/>
        <w:kinsoku/>
        <w:wordWrap/>
        <w:overflowPunct/>
        <w:topLinePunct w:val="0"/>
        <w:autoSpaceDE/>
        <w:autoSpaceDN/>
        <w:bidi w:val="0"/>
        <w:adjustRightInd w:val="0"/>
        <w:snapToGrid w:val="0"/>
        <w:spacing w:line="560" w:lineRule="exact"/>
        <w:ind w:left="0" w:leftChars="0" w:firstLine="640"/>
        <w:textAlignment w:val="auto"/>
        <w:rPr>
          <w:rFonts w:ascii="仿宋_GB2312" w:hAnsi="Times New Roman" w:eastAsia="仿宋_GB2312" w:cs="Times New Roman"/>
          <w:szCs w:val="24"/>
          <w:lang w:val="en-US" w:eastAsia="zh-CN" w:bidi="ar-SA"/>
        </w:rPr>
      </w:pPr>
      <w:r>
        <w:rPr>
          <w:rFonts w:ascii="仿宋_GB2312" w:hAnsi="Times New Roman" w:eastAsia="仿宋_GB2312" w:cs="Times New Roman"/>
          <w:szCs w:val="24"/>
          <w:lang w:val="en-US" w:eastAsia="zh-CN" w:bidi="ar-SA"/>
        </w:rPr>
        <w:t>坚持真实、科学、公正的原则。绩效评价应当严格执行规定的程序，按照科学可行的要求，采用定量与定性分析相结合的方法；绩效评价应当符合真实、客观、公正的要求，依法公开并接受监督。</w:t>
      </w:r>
    </w:p>
    <w:p>
      <w:pPr>
        <w:pStyle w:val="9"/>
        <w:keepNext w:val="0"/>
        <w:keepLines w:val="0"/>
        <w:pageBreakBefore w:val="0"/>
        <w:shd w:val="clear" w:color="auto" w:fill="auto"/>
        <w:kinsoku/>
        <w:wordWrap/>
        <w:overflowPunct/>
        <w:topLinePunct w:val="0"/>
        <w:autoSpaceDE/>
        <w:autoSpaceDN/>
        <w:bidi w:val="0"/>
        <w:adjustRightInd w:val="0"/>
        <w:snapToGrid w:val="0"/>
        <w:spacing w:line="560" w:lineRule="exact"/>
        <w:ind w:left="0" w:leftChars="0" w:firstLine="640"/>
        <w:textAlignment w:val="auto"/>
        <w:rPr>
          <w:rFonts w:ascii="仿宋_GB2312" w:hAnsi="Times New Roman" w:eastAsia="仿宋_GB2312" w:cs="Times New Roman"/>
          <w:szCs w:val="24"/>
          <w:lang w:val="en-US" w:eastAsia="zh-CN" w:bidi="ar-SA"/>
        </w:rPr>
      </w:pPr>
      <w:r>
        <w:rPr>
          <w:rFonts w:ascii="仿宋_GB2312" w:hAnsi="Times New Roman" w:eastAsia="仿宋_GB2312" w:cs="Times New Roman"/>
          <w:szCs w:val="24"/>
          <w:lang w:val="en-US" w:eastAsia="zh-CN" w:bidi="ar-SA"/>
        </w:rPr>
        <w:t>（</w:t>
      </w:r>
      <w:r>
        <w:rPr>
          <w:rFonts w:hint="eastAsia" w:ascii="仿宋_GB2312" w:hAnsi="Times New Roman" w:eastAsia="仿宋_GB2312" w:cs="Times New Roman"/>
          <w:szCs w:val="24"/>
          <w:lang w:val="en-US" w:eastAsia="zh-CN" w:bidi="ar-SA"/>
        </w:rPr>
        <w:t>1</w:t>
      </w:r>
      <w:r>
        <w:rPr>
          <w:rFonts w:ascii="仿宋_GB2312" w:hAnsi="Times New Roman" w:eastAsia="仿宋_GB2312" w:cs="Times New Roman"/>
          <w:szCs w:val="24"/>
          <w:lang w:val="en-US" w:eastAsia="zh-CN" w:bidi="ar-SA"/>
        </w:rPr>
        <w:t>）普遍性原则：应符合</w:t>
      </w:r>
      <w:r>
        <w:rPr>
          <w:rFonts w:hint="eastAsia" w:ascii="仿宋_GB2312" w:hAnsi="Times New Roman" w:eastAsia="仿宋_GB2312" w:cs="Times New Roman"/>
          <w:szCs w:val="24"/>
          <w:lang w:val="en-US" w:eastAsia="zh-CN" w:bidi="ar-SA"/>
        </w:rPr>
        <w:t>区审计局</w:t>
      </w:r>
      <w:r>
        <w:rPr>
          <w:rFonts w:ascii="仿宋_GB2312" w:hAnsi="Times New Roman" w:eastAsia="仿宋_GB2312" w:cs="Times New Roman"/>
          <w:szCs w:val="24"/>
          <w:lang w:val="en-US" w:eastAsia="zh-CN" w:bidi="ar-SA"/>
        </w:rPr>
        <w:t>的工作性质和要求，具有普遍的适用性。</w:t>
      </w:r>
    </w:p>
    <w:p>
      <w:pPr>
        <w:pStyle w:val="9"/>
        <w:keepNext w:val="0"/>
        <w:keepLines w:val="0"/>
        <w:pageBreakBefore w:val="0"/>
        <w:shd w:val="clear" w:color="auto" w:fill="auto"/>
        <w:kinsoku/>
        <w:wordWrap/>
        <w:overflowPunct/>
        <w:topLinePunct w:val="0"/>
        <w:autoSpaceDE/>
        <w:autoSpaceDN/>
        <w:bidi w:val="0"/>
        <w:adjustRightInd w:val="0"/>
        <w:snapToGrid w:val="0"/>
        <w:spacing w:line="560" w:lineRule="exact"/>
        <w:ind w:left="0" w:leftChars="0" w:firstLine="640"/>
        <w:textAlignment w:val="auto"/>
        <w:rPr>
          <w:rFonts w:ascii="仿宋_GB2312" w:hAnsi="Times New Roman" w:eastAsia="仿宋_GB2312" w:cs="Times New Roman"/>
          <w:szCs w:val="24"/>
          <w:lang w:val="en-US" w:eastAsia="zh-CN" w:bidi="ar-SA"/>
        </w:rPr>
      </w:pPr>
      <w:r>
        <w:rPr>
          <w:rFonts w:ascii="仿宋_GB2312" w:hAnsi="Times New Roman" w:eastAsia="仿宋_GB2312" w:cs="Times New Roman"/>
          <w:szCs w:val="24"/>
          <w:lang w:val="en-US" w:eastAsia="zh-CN" w:bidi="ar-SA"/>
        </w:rPr>
        <w:t>（</w:t>
      </w:r>
      <w:r>
        <w:rPr>
          <w:rFonts w:hint="eastAsia" w:ascii="仿宋_GB2312" w:hAnsi="Times New Roman" w:eastAsia="仿宋_GB2312" w:cs="Times New Roman"/>
          <w:szCs w:val="24"/>
          <w:lang w:val="en-US" w:eastAsia="zh-CN" w:bidi="ar-SA"/>
        </w:rPr>
        <w:t>2</w:t>
      </w:r>
      <w:r>
        <w:rPr>
          <w:rFonts w:ascii="仿宋_GB2312" w:hAnsi="Times New Roman" w:eastAsia="仿宋_GB2312" w:cs="Times New Roman"/>
          <w:szCs w:val="24"/>
          <w:lang w:val="en-US" w:eastAsia="zh-CN" w:bidi="ar-SA"/>
        </w:rPr>
        <w:t>）经济实用原则：依据现实条件及可操作性，获得相关数据的成本，避免由于数据搜集复杂或者分布广泛而导致绩效评价费用过高，力求简便易行，便于理解和操作，节约评价工作成本。</w:t>
      </w:r>
    </w:p>
    <w:p>
      <w:pPr>
        <w:pStyle w:val="9"/>
        <w:keepNext w:val="0"/>
        <w:keepLines w:val="0"/>
        <w:pageBreakBefore w:val="0"/>
        <w:shd w:val="clear" w:color="auto" w:fill="auto"/>
        <w:kinsoku/>
        <w:wordWrap/>
        <w:overflowPunct/>
        <w:topLinePunct w:val="0"/>
        <w:autoSpaceDE/>
        <w:autoSpaceDN/>
        <w:bidi w:val="0"/>
        <w:adjustRightInd w:val="0"/>
        <w:snapToGrid w:val="0"/>
        <w:spacing w:line="560" w:lineRule="exact"/>
        <w:ind w:left="0" w:leftChars="0" w:firstLine="640"/>
        <w:textAlignment w:val="auto"/>
        <w:rPr>
          <w:rFonts w:ascii="仿宋_GB2312" w:hAnsi="Times New Roman" w:eastAsia="仿宋_GB2312" w:cs="Times New Roman"/>
          <w:szCs w:val="24"/>
          <w:lang w:val="en-US" w:eastAsia="zh-CN" w:bidi="ar-SA"/>
        </w:rPr>
      </w:pPr>
      <w:r>
        <w:rPr>
          <w:rFonts w:ascii="仿宋_GB2312" w:hAnsi="Times New Roman" w:eastAsia="仿宋_GB2312" w:cs="Times New Roman"/>
          <w:szCs w:val="24"/>
          <w:lang w:val="en-US" w:eastAsia="zh-CN" w:bidi="ar-SA"/>
        </w:rPr>
        <w:t>（</w:t>
      </w:r>
      <w:r>
        <w:rPr>
          <w:rFonts w:hint="eastAsia" w:ascii="仿宋_GB2312" w:hAnsi="Times New Roman" w:eastAsia="仿宋_GB2312" w:cs="Times New Roman"/>
          <w:szCs w:val="24"/>
          <w:lang w:val="en-US" w:eastAsia="zh-CN" w:bidi="ar-SA"/>
        </w:rPr>
        <w:t>3</w:t>
      </w:r>
      <w:r>
        <w:rPr>
          <w:rFonts w:ascii="仿宋_GB2312" w:hAnsi="Times New Roman" w:eastAsia="仿宋_GB2312" w:cs="Times New Roman"/>
          <w:szCs w:val="24"/>
          <w:lang w:val="en-US" w:eastAsia="zh-CN" w:bidi="ar-SA"/>
        </w:rPr>
        <w:t>）适量原则：要科学、准确、合理，绩效目标不能过高过低，脱离免费开放工作实际。</w:t>
      </w:r>
    </w:p>
    <w:p>
      <w:pPr>
        <w:pStyle w:val="9"/>
        <w:keepNext w:val="0"/>
        <w:keepLines w:val="0"/>
        <w:pageBreakBefore w:val="0"/>
        <w:shd w:val="clear" w:color="auto" w:fill="auto"/>
        <w:kinsoku/>
        <w:wordWrap/>
        <w:overflowPunct/>
        <w:topLinePunct w:val="0"/>
        <w:autoSpaceDE/>
        <w:autoSpaceDN/>
        <w:bidi w:val="0"/>
        <w:adjustRightInd w:val="0"/>
        <w:snapToGrid w:val="0"/>
        <w:spacing w:line="560" w:lineRule="exact"/>
        <w:ind w:left="0" w:leftChars="0" w:firstLine="640"/>
        <w:textAlignment w:val="auto"/>
        <w:rPr>
          <w:rFonts w:ascii="仿宋_GB2312" w:hAnsi="Times New Roman" w:eastAsia="仿宋_GB2312" w:cs="Times New Roman"/>
          <w:szCs w:val="24"/>
          <w:lang w:val="en-US" w:eastAsia="zh-CN" w:bidi="ar-SA"/>
        </w:rPr>
      </w:pPr>
      <w:r>
        <w:rPr>
          <w:rFonts w:ascii="仿宋_GB2312" w:hAnsi="Times New Roman" w:eastAsia="仿宋_GB2312" w:cs="Times New Roman"/>
          <w:szCs w:val="24"/>
          <w:lang w:val="en-US" w:eastAsia="zh-CN" w:bidi="ar-SA"/>
        </w:rPr>
        <w:t>（</w:t>
      </w:r>
      <w:r>
        <w:rPr>
          <w:rFonts w:hint="eastAsia" w:ascii="仿宋_GB2312" w:hAnsi="Times New Roman" w:eastAsia="仿宋_GB2312" w:cs="Times New Roman"/>
          <w:szCs w:val="24"/>
          <w:lang w:val="en-US" w:eastAsia="zh-CN" w:bidi="ar-SA"/>
        </w:rPr>
        <w:t>4</w:t>
      </w:r>
      <w:r>
        <w:rPr>
          <w:rFonts w:ascii="仿宋_GB2312" w:hAnsi="Times New Roman" w:eastAsia="仿宋_GB2312" w:cs="Times New Roman"/>
          <w:szCs w:val="24"/>
          <w:lang w:val="en-US" w:eastAsia="zh-CN" w:bidi="ar-SA"/>
        </w:rPr>
        <w:t>）重要性原则：在选择指标的过程中，要根据指标在整个绩效评价体系中的地位和作用进行筛选，选择最具代表性、最能反映评价要求的指标。</w:t>
      </w:r>
    </w:p>
    <w:p>
      <w:pPr>
        <w:pStyle w:val="9"/>
        <w:keepNext w:val="0"/>
        <w:keepLines w:val="0"/>
        <w:pageBreakBefore w:val="0"/>
        <w:shd w:val="clear" w:color="auto" w:fill="auto"/>
        <w:kinsoku/>
        <w:wordWrap/>
        <w:overflowPunct/>
        <w:topLinePunct w:val="0"/>
        <w:autoSpaceDE/>
        <w:autoSpaceDN/>
        <w:bidi w:val="0"/>
        <w:adjustRightInd w:val="0"/>
        <w:snapToGrid w:val="0"/>
        <w:spacing w:line="560" w:lineRule="exact"/>
        <w:ind w:left="0" w:leftChars="0" w:firstLine="640"/>
        <w:textAlignment w:val="auto"/>
        <w:rPr>
          <w:rFonts w:ascii="仿宋_GB2312" w:hAnsi="Times New Roman" w:eastAsia="仿宋_GB2312" w:cs="Times New Roman"/>
          <w:szCs w:val="24"/>
          <w:lang w:val="en-US" w:eastAsia="zh-CN" w:bidi="ar-SA"/>
        </w:rPr>
      </w:pPr>
      <w:r>
        <w:rPr>
          <w:rFonts w:ascii="仿宋_GB2312" w:hAnsi="Times New Roman" w:eastAsia="仿宋_GB2312" w:cs="Times New Roman"/>
          <w:szCs w:val="24"/>
          <w:lang w:val="en-US" w:eastAsia="zh-CN" w:bidi="ar-SA"/>
        </w:rPr>
        <w:t>（</w:t>
      </w:r>
      <w:r>
        <w:rPr>
          <w:rFonts w:hint="eastAsia" w:ascii="仿宋_GB2312" w:hAnsi="Times New Roman" w:eastAsia="仿宋_GB2312" w:cs="Times New Roman"/>
          <w:szCs w:val="24"/>
          <w:lang w:val="en-US" w:eastAsia="zh-CN" w:bidi="ar-SA"/>
        </w:rPr>
        <w:t>5</w:t>
      </w:r>
      <w:r>
        <w:rPr>
          <w:rFonts w:ascii="仿宋_GB2312" w:hAnsi="Times New Roman" w:eastAsia="仿宋_GB2312" w:cs="Times New Roman"/>
          <w:szCs w:val="24"/>
          <w:lang w:val="en-US" w:eastAsia="zh-CN" w:bidi="ar-SA"/>
        </w:rPr>
        <w:t>）可比性原则：要保证评价结果可以在其他省市之间比较和借鉴。</w:t>
      </w:r>
    </w:p>
    <w:p>
      <w:pPr>
        <w:pStyle w:val="9"/>
        <w:keepNext w:val="0"/>
        <w:keepLines w:val="0"/>
        <w:pageBreakBefore w:val="0"/>
        <w:shd w:val="clear" w:color="auto" w:fill="auto"/>
        <w:kinsoku/>
        <w:wordWrap/>
        <w:overflowPunct/>
        <w:topLinePunct w:val="0"/>
        <w:autoSpaceDE/>
        <w:autoSpaceDN/>
        <w:bidi w:val="0"/>
        <w:adjustRightInd w:val="0"/>
        <w:snapToGrid w:val="0"/>
        <w:spacing w:line="560" w:lineRule="exact"/>
        <w:ind w:left="0" w:leftChars="0" w:firstLine="640"/>
        <w:textAlignment w:val="auto"/>
        <w:rPr>
          <w:rFonts w:ascii="仿宋_GB2312" w:hAnsi="Times New Roman" w:eastAsia="仿宋_GB2312" w:cs="Times New Roman"/>
          <w:szCs w:val="24"/>
          <w:lang w:val="en-US" w:eastAsia="zh-CN" w:bidi="ar-SA"/>
        </w:rPr>
      </w:pPr>
      <w:r>
        <w:rPr>
          <w:rFonts w:ascii="仿宋_GB2312" w:hAnsi="Times New Roman" w:eastAsia="仿宋_GB2312" w:cs="Times New Roman"/>
          <w:szCs w:val="24"/>
          <w:lang w:val="en-US" w:eastAsia="zh-CN" w:bidi="ar-SA"/>
        </w:rPr>
        <w:t>（</w:t>
      </w:r>
      <w:r>
        <w:rPr>
          <w:rFonts w:hint="eastAsia" w:ascii="仿宋_GB2312" w:hAnsi="Times New Roman" w:eastAsia="仿宋_GB2312" w:cs="Times New Roman"/>
          <w:szCs w:val="24"/>
          <w:lang w:val="en-US" w:eastAsia="zh-CN" w:bidi="ar-SA"/>
        </w:rPr>
        <w:t>6</w:t>
      </w:r>
      <w:r>
        <w:rPr>
          <w:rFonts w:ascii="仿宋_GB2312" w:hAnsi="Times New Roman" w:eastAsia="仿宋_GB2312" w:cs="Times New Roman"/>
          <w:szCs w:val="24"/>
          <w:lang w:val="en-US" w:eastAsia="zh-CN" w:bidi="ar-SA"/>
        </w:rPr>
        <w:t>）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pPr>
        <w:pStyle w:val="9"/>
        <w:keepNext w:val="0"/>
        <w:keepLines w:val="0"/>
        <w:pageBreakBefore w:val="0"/>
        <w:shd w:val="clear" w:color="auto" w:fill="auto"/>
        <w:kinsoku/>
        <w:wordWrap/>
        <w:overflowPunct/>
        <w:topLinePunct w:val="0"/>
        <w:autoSpaceDE/>
        <w:autoSpaceDN/>
        <w:bidi w:val="0"/>
        <w:adjustRightInd w:val="0"/>
        <w:snapToGrid w:val="0"/>
        <w:spacing w:line="560" w:lineRule="exact"/>
        <w:ind w:left="0" w:leftChars="0" w:firstLine="640"/>
        <w:textAlignment w:val="auto"/>
        <w:rPr>
          <w:rFonts w:hint="eastAsia" w:ascii="仿宋_GB2312" w:hAnsi="Times New Roman" w:eastAsia="仿宋_GB2312" w:cs="Times New Roman"/>
          <w:szCs w:val="24"/>
          <w:highlight w:val="none"/>
          <w:lang w:eastAsia="zh-CN"/>
        </w:rPr>
      </w:pPr>
      <w:r>
        <w:rPr>
          <w:rFonts w:hint="eastAsia" w:ascii="仿宋_GB2312" w:hAnsi="Times New Roman" w:eastAsia="仿宋_GB2312" w:cs="Times New Roman"/>
          <w:szCs w:val="24"/>
          <w:highlight w:val="none"/>
          <w:lang w:eastAsia="zh-CN"/>
        </w:rPr>
        <w:t>2、绩效评价指标体系</w:t>
      </w:r>
    </w:p>
    <w:p>
      <w:pPr>
        <w:pStyle w:val="9"/>
        <w:keepNext w:val="0"/>
        <w:keepLines w:val="0"/>
        <w:pageBreakBefore w:val="0"/>
        <w:shd w:val="clear" w:color="auto" w:fill="auto"/>
        <w:kinsoku/>
        <w:wordWrap/>
        <w:overflowPunct/>
        <w:topLinePunct w:val="0"/>
        <w:autoSpaceDE/>
        <w:autoSpaceDN/>
        <w:bidi w:val="0"/>
        <w:adjustRightInd w:val="0"/>
        <w:snapToGrid w:val="0"/>
        <w:spacing w:line="560" w:lineRule="exact"/>
        <w:ind w:left="0" w:leftChars="0" w:firstLine="640"/>
        <w:textAlignment w:val="auto"/>
        <w:rPr>
          <w:rFonts w:ascii="仿宋_GB2312" w:hAnsi="Times New Roman" w:eastAsia="仿宋_GB2312" w:cs="Times New Roman"/>
          <w:szCs w:val="24"/>
          <w:lang w:val="en-US" w:eastAsia="zh-CN"/>
        </w:rPr>
      </w:pPr>
      <w:r>
        <w:rPr>
          <w:rFonts w:ascii="仿宋_GB2312" w:hAnsi="Times New Roman" w:eastAsia="仿宋_GB2312" w:cs="Times New Roman"/>
          <w:szCs w:val="24"/>
          <w:lang w:val="en-US" w:eastAsia="zh-CN"/>
        </w:rPr>
        <w:t>绩效评价指标的确定遵循以下原则：</w:t>
      </w:r>
      <w:bookmarkStart w:id="0" w:name="bookmark71"/>
      <w:bookmarkEnd w:id="0"/>
    </w:p>
    <w:p>
      <w:pPr>
        <w:pStyle w:val="9"/>
        <w:keepNext w:val="0"/>
        <w:keepLines w:val="0"/>
        <w:pageBreakBefore w:val="0"/>
        <w:shd w:val="clear" w:color="auto" w:fill="auto"/>
        <w:kinsoku/>
        <w:wordWrap/>
        <w:overflowPunct/>
        <w:topLinePunct w:val="0"/>
        <w:autoSpaceDE/>
        <w:autoSpaceDN/>
        <w:bidi w:val="0"/>
        <w:adjustRightInd w:val="0"/>
        <w:snapToGrid w:val="0"/>
        <w:spacing w:line="560" w:lineRule="exact"/>
        <w:ind w:left="0" w:leftChars="0" w:firstLine="640"/>
        <w:textAlignment w:val="auto"/>
        <w:rPr>
          <w:rFonts w:ascii="仿宋_GB2312" w:hAnsi="Times New Roman" w:eastAsia="仿宋_GB2312" w:cs="Times New Roman"/>
          <w:szCs w:val="24"/>
          <w:lang w:val="en-US" w:eastAsia="zh-CN"/>
        </w:rPr>
      </w:pPr>
      <w:r>
        <w:rPr>
          <w:rFonts w:ascii="仿宋_GB2312" w:hAnsi="Times New Roman" w:eastAsia="仿宋_GB2312" w:cs="Times New Roman"/>
          <w:szCs w:val="24"/>
          <w:lang w:val="en-US" w:eastAsia="zh-CN"/>
        </w:rPr>
        <w:t>（</w:t>
      </w:r>
      <w:r>
        <w:rPr>
          <w:rFonts w:hint="eastAsia" w:ascii="仿宋_GB2312" w:hAnsi="Times New Roman" w:eastAsia="仿宋_GB2312" w:cs="Times New Roman"/>
          <w:szCs w:val="24"/>
          <w:lang w:val="en-US" w:eastAsia="zh-CN"/>
        </w:rPr>
        <w:t>1</w:t>
      </w:r>
      <w:r>
        <w:rPr>
          <w:rFonts w:ascii="仿宋_GB2312" w:hAnsi="Times New Roman" w:eastAsia="仿宋_GB2312" w:cs="Times New Roman"/>
          <w:szCs w:val="24"/>
          <w:lang w:val="en-US" w:eastAsia="zh-CN"/>
        </w:rPr>
        <w:t>）相关性原则一一应当与绩效目标有直接的联系，能够恰当反映目标的实现程度。</w:t>
      </w:r>
      <w:bookmarkStart w:id="1" w:name="bookmark72"/>
      <w:bookmarkEnd w:id="1"/>
    </w:p>
    <w:p>
      <w:pPr>
        <w:pStyle w:val="9"/>
        <w:keepNext w:val="0"/>
        <w:keepLines w:val="0"/>
        <w:pageBreakBefore w:val="0"/>
        <w:shd w:val="clear" w:color="auto" w:fill="auto"/>
        <w:kinsoku/>
        <w:wordWrap/>
        <w:overflowPunct/>
        <w:topLinePunct w:val="0"/>
        <w:autoSpaceDE/>
        <w:autoSpaceDN/>
        <w:bidi w:val="0"/>
        <w:adjustRightInd w:val="0"/>
        <w:snapToGrid w:val="0"/>
        <w:spacing w:line="560" w:lineRule="exact"/>
        <w:ind w:left="0" w:leftChars="0" w:firstLine="640"/>
        <w:textAlignment w:val="auto"/>
        <w:rPr>
          <w:rFonts w:ascii="仿宋_GB2312" w:hAnsi="Times New Roman" w:eastAsia="仿宋_GB2312" w:cs="Times New Roman"/>
          <w:szCs w:val="24"/>
          <w:lang w:val="en-US" w:eastAsia="zh-CN"/>
        </w:rPr>
      </w:pPr>
      <w:r>
        <w:rPr>
          <w:rFonts w:ascii="仿宋_GB2312" w:hAnsi="Times New Roman" w:eastAsia="仿宋_GB2312" w:cs="Times New Roman"/>
          <w:szCs w:val="24"/>
          <w:lang w:val="en-US" w:eastAsia="zh-CN"/>
        </w:rPr>
        <w:t>（</w:t>
      </w:r>
      <w:r>
        <w:rPr>
          <w:rFonts w:hint="eastAsia" w:ascii="仿宋_GB2312" w:hAnsi="Times New Roman" w:eastAsia="仿宋_GB2312" w:cs="Times New Roman"/>
          <w:szCs w:val="24"/>
          <w:lang w:val="en-US" w:eastAsia="zh-CN"/>
        </w:rPr>
        <w:t>2</w:t>
      </w:r>
      <w:r>
        <w:rPr>
          <w:rFonts w:ascii="仿宋_GB2312" w:hAnsi="Times New Roman" w:eastAsia="仿宋_GB2312" w:cs="Times New Roman"/>
          <w:szCs w:val="24"/>
          <w:lang w:val="en-US" w:eastAsia="zh-CN"/>
        </w:rPr>
        <w:t>）重要性原则一一优先使用最具评价对象代表性、最能反映评价要求的核心指标。</w:t>
      </w:r>
    </w:p>
    <w:p>
      <w:pPr>
        <w:pStyle w:val="9"/>
        <w:keepNext w:val="0"/>
        <w:keepLines w:val="0"/>
        <w:pageBreakBefore w:val="0"/>
        <w:shd w:val="clear" w:color="auto" w:fill="auto"/>
        <w:kinsoku/>
        <w:wordWrap/>
        <w:overflowPunct/>
        <w:topLinePunct w:val="0"/>
        <w:autoSpaceDE/>
        <w:autoSpaceDN/>
        <w:bidi w:val="0"/>
        <w:adjustRightInd w:val="0"/>
        <w:snapToGrid w:val="0"/>
        <w:spacing w:line="560" w:lineRule="exact"/>
        <w:ind w:left="0" w:leftChars="0" w:firstLine="640"/>
        <w:textAlignment w:val="auto"/>
        <w:rPr>
          <w:rFonts w:ascii="仿宋_GB2312" w:hAnsi="Times New Roman" w:eastAsia="仿宋_GB2312" w:cs="Times New Roman"/>
          <w:szCs w:val="24"/>
          <w:lang w:val="en-US" w:eastAsia="zh-CN"/>
        </w:rPr>
      </w:pPr>
      <w:bookmarkStart w:id="2" w:name="bookmark73"/>
      <w:bookmarkEnd w:id="2"/>
      <w:r>
        <w:rPr>
          <w:rFonts w:hint="eastAsia" w:ascii="仿宋_GB2312" w:hAnsi="Times New Roman" w:eastAsia="仿宋_GB2312" w:cs="Times New Roman"/>
          <w:szCs w:val="24"/>
          <w:lang w:val="en-US" w:eastAsia="zh-CN"/>
        </w:rPr>
        <w:t>（3）</w:t>
      </w:r>
      <w:r>
        <w:rPr>
          <w:rFonts w:ascii="仿宋_GB2312" w:hAnsi="Times New Roman" w:eastAsia="仿宋_GB2312" w:cs="Times New Roman"/>
          <w:szCs w:val="24"/>
          <w:lang w:val="en-US" w:eastAsia="zh-CN"/>
        </w:rPr>
        <w:t>可比性原则一一对同类评价对象要设定共性的绩效 评价指标，以便于评价结果可以相互比较。</w:t>
      </w:r>
    </w:p>
    <w:p>
      <w:pPr>
        <w:pStyle w:val="9"/>
        <w:keepNext w:val="0"/>
        <w:keepLines w:val="0"/>
        <w:pageBreakBefore w:val="0"/>
        <w:shd w:val="clear" w:color="auto" w:fill="auto"/>
        <w:kinsoku/>
        <w:wordWrap/>
        <w:overflowPunct/>
        <w:topLinePunct w:val="0"/>
        <w:autoSpaceDE/>
        <w:autoSpaceDN/>
        <w:bidi w:val="0"/>
        <w:adjustRightInd w:val="0"/>
        <w:snapToGrid w:val="0"/>
        <w:spacing w:line="560" w:lineRule="exact"/>
        <w:ind w:left="0" w:leftChars="0" w:firstLine="640"/>
        <w:textAlignment w:val="auto"/>
        <w:rPr>
          <w:rFonts w:ascii="仿宋_GB2312" w:hAnsi="Times New Roman" w:eastAsia="仿宋_GB2312" w:cs="Times New Roman"/>
          <w:szCs w:val="24"/>
          <w:lang w:val="en-US" w:eastAsia="zh-CN"/>
        </w:rPr>
      </w:pPr>
      <w:bookmarkStart w:id="3" w:name="bookmark74"/>
      <w:bookmarkEnd w:id="3"/>
      <w:r>
        <w:rPr>
          <w:rFonts w:hint="eastAsia" w:ascii="仿宋_GB2312" w:hAnsi="Times New Roman" w:eastAsia="仿宋_GB2312" w:cs="Times New Roman"/>
          <w:szCs w:val="24"/>
          <w:lang w:val="en-US" w:eastAsia="zh-CN"/>
        </w:rPr>
        <w:t>（4）</w:t>
      </w:r>
      <w:r>
        <w:rPr>
          <w:rFonts w:ascii="仿宋_GB2312" w:hAnsi="Times New Roman" w:eastAsia="仿宋_GB2312" w:cs="Times New Roman"/>
          <w:szCs w:val="24"/>
          <w:lang w:val="en-US" w:eastAsia="zh-CN"/>
        </w:rPr>
        <w:t>系统性原则一一应当将定量指标与定性指标相结 合，系统反映财政支出所产生的社会效益、经济效益、环境 效益和可持续影响等。</w:t>
      </w:r>
    </w:p>
    <w:p>
      <w:pPr>
        <w:pStyle w:val="9"/>
        <w:keepNext w:val="0"/>
        <w:keepLines w:val="0"/>
        <w:pageBreakBefore w:val="0"/>
        <w:shd w:val="clear" w:color="auto" w:fill="auto"/>
        <w:kinsoku/>
        <w:wordWrap/>
        <w:overflowPunct/>
        <w:topLinePunct w:val="0"/>
        <w:autoSpaceDE/>
        <w:autoSpaceDN/>
        <w:bidi w:val="0"/>
        <w:adjustRightInd w:val="0"/>
        <w:snapToGrid w:val="0"/>
        <w:spacing w:line="560" w:lineRule="exact"/>
        <w:ind w:left="0" w:leftChars="0" w:firstLine="640"/>
        <w:textAlignment w:val="auto"/>
        <w:rPr>
          <w:rFonts w:ascii="仿宋_GB2312" w:hAnsi="Times New Roman" w:eastAsia="仿宋_GB2312" w:cs="Times New Roman"/>
          <w:szCs w:val="24"/>
          <w:lang w:val="en-US" w:eastAsia="zh-CN"/>
        </w:rPr>
      </w:pPr>
      <w:bookmarkStart w:id="4" w:name="bookmark75"/>
      <w:bookmarkEnd w:id="4"/>
      <w:r>
        <w:rPr>
          <w:rFonts w:hint="eastAsia" w:ascii="仿宋_GB2312" w:hAnsi="Times New Roman" w:eastAsia="仿宋_GB2312" w:cs="Times New Roman"/>
          <w:szCs w:val="24"/>
          <w:lang w:val="en-US" w:eastAsia="zh-CN"/>
        </w:rPr>
        <w:t>（5）</w:t>
      </w:r>
      <w:r>
        <w:rPr>
          <w:rFonts w:ascii="仿宋_GB2312" w:hAnsi="Times New Roman" w:eastAsia="仿宋_GB2312" w:cs="Times New Roman"/>
          <w:szCs w:val="24"/>
          <w:lang w:val="en-US" w:eastAsia="zh-CN"/>
        </w:rPr>
        <w:t>经济性原则一应当通俗易懂、简便易行，数据的 获得应当考虑现实条件和可操作性，符合成本效益原则。</w:t>
      </w:r>
    </w:p>
    <w:p>
      <w:pPr>
        <w:pStyle w:val="9"/>
        <w:keepNext w:val="0"/>
        <w:keepLines w:val="0"/>
        <w:pageBreakBefore w:val="0"/>
        <w:shd w:val="clear" w:color="auto" w:fill="auto"/>
        <w:tabs>
          <w:tab w:val="left" w:pos="979"/>
        </w:tabs>
        <w:kinsoku/>
        <w:wordWrap/>
        <w:overflowPunct/>
        <w:topLinePunct w:val="0"/>
        <w:autoSpaceDE/>
        <w:autoSpaceDN/>
        <w:bidi w:val="0"/>
        <w:adjustRightInd w:val="0"/>
        <w:snapToGrid w:val="0"/>
        <w:spacing w:line="560" w:lineRule="exact"/>
        <w:ind w:left="0" w:leftChars="0" w:firstLine="600" w:firstLineChars="200"/>
        <w:textAlignment w:val="auto"/>
        <w:rPr>
          <w:rFonts w:ascii="仿宋_GB2312" w:hAnsi="Times New Roman" w:eastAsia="仿宋_GB2312" w:cs="Times New Roman"/>
          <w:szCs w:val="24"/>
          <w:lang w:val="en-US" w:eastAsia="zh-CN"/>
        </w:rPr>
      </w:pPr>
      <w:r>
        <w:rPr>
          <w:rFonts w:ascii="仿宋_GB2312" w:hAnsi="Times New Roman" w:eastAsia="仿宋_GB2312" w:cs="Times New Roman"/>
          <w:szCs w:val="24"/>
          <w:lang w:val="en-US" w:eastAsia="zh-CN"/>
        </w:rPr>
        <w:t>绩效评价指标体系设定：</w:t>
      </w:r>
    </w:p>
    <w:p>
      <w:pPr>
        <w:pStyle w:val="9"/>
        <w:keepNext w:val="0"/>
        <w:keepLines w:val="0"/>
        <w:pageBreakBefore w:val="0"/>
        <w:shd w:val="clear" w:color="auto" w:fill="auto"/>
        <w:tabs>
          <w:tab w:val="left" w:pos="979"/>
        </w:tabs>
        <w:kinsoku/>
        <w:wordWrap/>
        <w:overflowPunct/>
        <w:topLinePunct w:val="0"/>
        <w:autoSpaceDE/>
        <w:autoSpaceDN/>
        <w:bidi w:val="0"/>
        <w:adjustRightInd w:val="0"/>
        <w:snapToGrid w:val="0"/>
        <w:spacing w:line="560" w:lineRule="exact"/>
        <w:ind w:left="0" w:leftChars="0" w:firstLine="699" w:firstLineChars="233"/>
        <w:textAlignment w:val="auto"/>
        <w:rPr>
          <w:rFonts w:ascii="仿宋_GB2312" w:hAnsi="Times New Roman" w:eastAsia="仿宋_GB2312" w:cs="Times New Roman"/>
          <w:szCs w:val="24"/>
          <w:lang w:val="en-US" w:eastAsia="zh-CN"/>
        </w:rPr>
      </w:pPr>
      <w:r>
        <w:rPr>
          <w:rFonts w:hint="eastAsia" w:ascii="仿宋_GB2312" w:hAnsi="Times New Roman" w:eastAsia="仿宋_GB2312" w:cs="Times New Roman"/>
          <w:szCs w:val="24"/>
          <w:lang w:val="en-US" w:eastAsia="zh-CN"/>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见附件1）</w:t>
      </w:r>
    </w:p>
    <w:p>
      <w:pPr>
        <w:pStyle w:val="9"/>
        <w:keepNext w:val="0"/>
        <w:keepLines w:val="0"/>
        <w:pageBreakBefore w:val="0"/>
        <w:shd w:val="clear" w:color="auto" w:fill="auto"/>
        <w:tabs>
          <w:tab w:val="left" w:pos="979"/>
        </w:tabs>
        <w:kinsoku/>
        <w:wordWrap/>
        <w:overflowPunct/>
        <w:topLinePunct w:val="0"/>
        <w:autoSpaceDE/>
        <w:autoSpaceDN/>
        <w:bidi w:val="0"/>
        <w:adjustRightInd w:val="0"/>
        <w:snapToGrid w:val="0"/>
        <w:spacing w:line="560" w:lineRule="exact"/>
        <w:ind w:left="0" w:leftChars="0" w:firstLine="699" w:firstLineChars="233"/>
        <w:textAlignment w:val="auto"/>
        <w:rPr>
          <w:rFonts w:ascii="仿宋_GB2312" w:hAnsi="Times New Roman" w:eastAsia="仿宋_GB2312" w:cs="Times New Roman"/>
          <w:szCs w:val="24"/>
          <w:lang w:val="en-US" w:eastAsia="zh-CN" w:bidi="ar-SA"/>
        </w:rPr>
      </w:pPr>
      <w:r>
        <w:rPr>
          <w:rFonts w:ascii="仿宋_GB2312" w:hAnsi="Times New Roman" w:eastAsia="仿宋_GB2312" w:cs="Times New Roman"/>
          <w:szCs w:val="24"/>
          <w:lang w:val="en-US" w:eastAsia="zh-CN" w:bidi="ar-SA"/>
        </w:rPr>
        <w:t>在对</w:t>
      </w:r>
      <w:r>
        <w:rPr>
          <w:rFonts w:hint="eastAsia" w:ascii="仿宋_GB2312" w:hAnsi="Times New Roman" w:eastAsia="仿宋_GB2312" w:cs="Times New Roman"/>
          <w:szCs w:val="24"/>
          <w:lang w:val="en-US" w:eastAsia="zh-CN" w:bidi="ar-SA"/>
        </w:rPr>
        <w:t>2020年投资审计专项经费</w:t>
      </w:r>
      <w:r>
        <w:rPr>
          <w:rFonts w:ascii="仿宋_GB2312" w:hAnsi="Times New Roman" w:eastAsia="仿宋_GB2312" w:cs="Times New Roman"/>
          <w:szCs w:val="24"/>
          <w:lang w:val="en-US" w:eastAsia="zh-CN" w:bidi="ar-SA"/>
        </w:rPr>
        <w:t>的深入调研的基础上，按照《项目支出绩效评价管理办法》（财预〔20</w:t>
      </w:r>
      <w:r>
        <w:rPr>
          <w:rFonts w:hint="eastAsia" w:ascii="仿宋_GB2312" w:hAnsi="Times New Roman" w:eastAsia="仿宋_GB2312" w:cs="Times New Roman"/>
          <w:szCs w:val="24"/>
          <w:lang w:val="en-US" w:eastAsia="zh-CN" w:bidi="ar-SA"/>
        </w:rPr>
        <w:t>20</w:t>
      </w:r>
      <w:r>
        <w:rPr>
          <w:rFonts w:ascii="仿宋_GB2312" w:hAnsi="Times New Roman" w:eastAsia="仿宋_GB2312" w:cs="Times New Roman"/>
          <w:szCs w:val="24"/>
          <w:lang w:val="en-US" w:eastAsia="zh-CN" w:bidi="ar-SA"/>
        </w:rPr>
        <w:t>〕</w:t>
      </w:r>
      <w:r>
        <w:rPr>
          <w:rFonts w:hint="eastAsia" w:ascii="仿宋_GB2312" w:hAnsi="Times New Roman" w:eastAsia="仿宋_GB2312" w:cs="Times New Roman"/>
          <w:szCs w:val="24"/>
          <w:lang w:val="en-US" w:eastAsia="zh-CN" w:bidi="ar-SA"/>
        </w:rPr>
        <w:t>10号</w:t>
      </w:r>
      <w:r>
        <w:rPr>
          <w:rFonts w:ascii="仿宋_GB2312" w:hAnsi="Times New Roman" w:eastAsia="仿宋_GB2312" w:cs="Times New Roman"/>
          <w:szCs w:val="24"/>
          <w:lang w:val="en-US" w:eastAsia="zh-CN" w:bidi="ar-SA"/>
        </w:rPr>
        <w:t>）对于指标体系的要求和规范，建立一套适合评价</w:t>
      </w:r>
      <w:r>
        <w:rPr>
          <w:rFonts w:hint="eastAsia" w:ascii="仿宋_GB2312" w:hAnsi="Times New Roman" w:eastAsia="仿宋_GB2312" w:cs="Times New Roman"/>
          <w:szCs w:val="24"/>
          <w:lang w:val="en-US" w:eastAsia="zh-CN" w:bidi="ar-SA"/>
        </w:rPr>
        <w:t>投资审计专项经费</w:t>
      </w:r>
      <w:r>
        <w:rPr>
          <w:rFonts w:ascii="仿宋_GB2312" w:hAnsi="Times New Roman" w:eastAsia="仿宋_GB2312" w:cs="Times New Roman"/>
          <w:szCs w:val="24"/>
          <w:lang w:val="en-US" w:eastAsia="zh-CN" w:bidi="ar-SA"/>
        </w:rPr>
        <w:t>的指标体系，从项目决策、项目过程、项目产出和项目绩效四个维度全面考察</w:t>
      </w:r>
      <w:r>
        <w:rPr>
          <w:rFonts w:hint="eastAsia" w:ascii="仿宋_GB2312" w:hAnsi="Times New Roman" w:eastAsia="仿宋_GB2312" w:cs="Times New Roman"/>
          <w:szCs w:val="24"/>
          <w:lang w:val="en-US" w:eastAsia="zh-CN" w:bidi="ar-SA"/>
        </w:rPr>
        <w:t>投资审计专项经费</w:t>
      </w:r>
      <w:r>
        <w:rPr>
          <w:rFonts w:ascii="仿宋_GB2312" w:hAnsi="Times New Roman" w:eastAsia="仿宋_GB2312" w:cs="Times New Roman"/>
          <w:szCs w:val="24"/>
          <w:lang w:val="en-US" w:eastAsia="zh-CN" w:bidi="ar-SA"/>
        </w:rPr>
        <w:t>的效益，并重点对于项目的产出和绩效进行总体分析，以达到通过指标体系的科学评价反思管理及决策问题的目标。</w:t>
      </w:r>
    </w:p>
    <w:p>
      <w:pPr>
        <w:pStyle w:val="9"/>
        <w:keepNext w:val="0"/>
        <w:keepLines w:val="0"/>
        <w:pageBreakBefore w:val="0"/>
        <w:shd w:val="clear" w:color="auto" w:fill="auto"/>
        <w:tabs>
          <w:tab w:val="left" w:pos="979"/>
        </w:tabs>
        <w:kinsoku/>
        <w:wordWrap/>
        <w:overflowPunct/>
        <w:topLinePunct w:val="0"/>
        <w:autoSpaceDE/>
        <w:autoSpaceDN/>
        <w:bidi w:val="0"/>
        <w:adjustRightInd w:val="0"/>
        <w:snapToGrid w:val="0"/>
        <w:spacing w:line="560" w:lineRule="exact"/>
        <w:ind w:left="0" w:leftChars="0" w:firstLine="699" w:firstLineChars="233"/>
        <w:textAlignment w:val="auto"/>
        <w:rPr>
          <w:rFonts w:hint="eastAsia" w:ascii="仿宋_GB2312" w:hAnsi="Times New Roman" w:eastAsia="仿宋_GB2312" w:cs="Times New Roman"/>
          <w:szCs w:val="24"/>
          <w:highlight w:val="none"/>
          <w:lang w:val="en-US" w:eastAsia="zh-CN"/>
        </w:rPr>
      </w:pPr>
      <w:r>
        <w:rPr>
          <w:rFonts w:hint="eastAsia" w:ascii="仿宋_GB2312" w:hAnsi="Times New Roman" w:eastAsia="仿宋_GB2312" w:cs="Times New Roman"/>
          <w:szCs w:val="24"/>
          <w:highlight w:val="none"/>
          <w:lang w:val="en-US" w:eastAsia="zh-CN"/>
        </w:rPr>
        <w:t>3、绩效评价方法</w:t>
      </w:r>
    </w:p>
    <w:p>
      <w:pPr>
        <w:pStyle w:val="9"/>
        <w:keepNext w:val="0"/>
        <w:keepLines w:val="0"/>
        <w:pageBreakBefore w:val="0"/>
        <w:shd w:val="clear" w:color="auto" w:fill="auto"/>
        <w:kinsoku/>
        <w:wordWrap/>
        <w:overflowPunct/>
        <w:topLinePunct w:val="0"/>
        <w:autoSpaceDE/>
        <w:autoSpaceDN/>
        <w:bidi w:val="0"/>
        <w:adjustRightInd w:val="0"/>
        <w:snapToGrid w:val="0"/>
        <w:spacing w:line="560" w:lineRule="exact"/>
        <w:ind w:left="0" w:leftChars="0" w:firstLine="500"/>
        <w:jc w:val="left"/>
        <w:textAlignment w:val="auto"/>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绩效评价方法主要包括成本效益分析法、比较法、因素分析法、最低成本法、公众评判法、标杆管理法等。根据评价对象的具体情况，可采用一种或多种方法。</w:t>
      </w:r>
    </w:p>
    <w:p>
      <w:pPr>
        <w:pStyle w:val="9"/>
        <w:keepNext w:val="0"/>
        <w:keepLines w:val="0"/>
        <w:pageBreakBefore w:val="0"/>
        <w:shd w:val="clear" w:color="auto" w:fill="auto"/>
        <w:kinsoku/>
        <w:wordWrap/>
        <w:overflowPunct/>
        <w:topLinePunct w:val="0"/>
        <w:autoSpaceDE/>
        <w:autoSpaceDN/>
        <w:bidi w:val="0"/>
        <w:adjustRightInd w:val="0"/>
        <w:snapToGrid w:val="0"/>
        <w:spacing w:line="560" w:lineRule="exact"/>
        <w:ind w:left="0" w:leftChars="0" w:firstLine="500"/>
        <w:jc w:val="left"/>
        <w:textAlignment w:val="auto"/>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 xml:space="preserve">（一）成本效益分析法。是指将投入与产出、效益进行关联性分析的方法。 </w:t>
      </w:r>
    </w:p>
    <w:p>
      <w:pPr>
        <w:pStyle w:val="9"/>
        <w:keepNext w:val="0"/>
        <w:keepLines w:val="0"/>
        <w:pageBreakBefore w:val="0"/>
        <w:shd w:val="clear" w:color="auto" w:fill="auto"/>
        <w:kinsoku/>
        <w:wordWrap/>
        <w:overflowPunct/>
        <w:topLinePunct w:val="0"/>
        <w:autoSpaceDE/>
        <w:autoSpaceDN/>
        <w:bidi w:val="0"/>
        <w:adjustRightInd w:val="0"/>
        <w:snapToGrid w:val="0"/>
        <w:spacing w:line="560" w:lineRule="exact"/>
        <w:ind w:left="0" w:leftChars="0" w:firstLine="500"/>
        <w:jc w:val="left"/>
        <w:textAlignment w:val="auto"/>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（二）比较法。是指将实施情况与绩效目标、历史情况、不同部门和地区同类支出情况进行比较的方法。</w:t>
      </w:r>
    </w:p>
    <w:p>
      <w:pPr>
        <w:pStyle w:val="9"/>
        <w:keepNext w:val="0"/>
        <w:keepLines w:val="0"/>
        <w:pageBreakBefore w:val="0"/>
        <w:shd w:val="clear" w:color="auto" w:fill="auto"/>
        <w:kinsoku/>
        <w:wordWrap/>
        <w:overflowPunct/>
        <w:topLinePunct w:val="0"/>
        <w:autoSpaceDE/>
        <w:autoSpaceDN/>
        <w:bidi w:val="0"/>
        <w:adjustRightInd w:val="0"/>
        <w:snapToGrid w:val="0"/>
        <w:spacing w:line="560" w:lineRule="exact"/>
        <w:ind w:left="0" w:leftChars="0" w:firstLine="500"/>
        <w:jc w:val="left"/>
        <w:textAlignment w:val="auto"/>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（三）因素分析法。是指综合分析影响绩效目标实现、实施效果的内外部因素的方法。</w:t>
      </w:r>
    </w:p>
    <w:p>
      <w:pPr>
        <w:pStyle w:val="9"/>
        <w:keepNext w:val="0"/>
        <w:keepLines w:val="0"/>
        <w:pageBreakBefore w:val="0"/>
        <w:shd w:val="clear" w:color="auto" w:fill="auto"/>
        <w:kinsoku/>
        <w:wordWrap/>
        <w:overflowPunct/>
        <w:topLinePunct w:val="0"/>
        <w:autoSpaceDE/>
        <w:autoSpaceDN/>
        <w:bidi w:val="0"/>
        <w:adjustRightInd w:val="0"/>
        <w:snapToGrid w:val="0"/>
        <w:spacing w:line="560" w:lineRule="exact"/>
        <w:ind w:left="0" w:leftChars="0" w:firstLine="500"/>
        <w:jc w:val="left"/>
        <w:textAlignment w:val="auto"/>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（四）最低成本法。是指在绩效目标确定的前提下，成本最小者为优的方法。</w:t>
      </w:r>
    </w:p>
    <w:p>
      <w:pPr>
        <w:pStyle w:val="9"/>
        <w:keepNext w:val="0"/>
        <w:keepLines w:val="0"/>
        <w:pageBreakBefore w:val="0"/>
        <w:shd w:val="clear" w:color="auto" w:fill="auto"/>
        <w:kinsoku/>
        <w:wordWrap/>
        <w:overflowPunct/>
        <w:topLinePunct w:val="0"/>
        <w:autoSpaceDE/>
        <w:autoSpaceDN/>
        <w:bidi w:val="0"/>
        <w:adjustRightInd w:val="0"/>
        <w:snapToGrid w:val="0"/>
        <w:spacing w:line="560" w:lineRule="exact"/>
        <w:ind w:left="0" w:leftChars="0" w:firstLine="500"/>
        <w:jc w:val="left"/>
        <w:textAlignment w:val="auto"/>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（五）公众评判法。是指通过专家评估、公众问卷及抽样调查等方式进行评判的方法。</w:t>
      </w:r>
    </w:p>
    <w:p>
      <w:pPr>
        <w:pStyle w:val="9"/>
        <w:keepNext w:val="0"/>
        <w:keepLines w:val="0"/>
        <w:pageBreakBefore w:val="0"/>
        <w:shd w:val="clear" w:color="auto" w:fill="auto"/>
        <w:kinsoku/>
        <w:wordWrap/>
        <w:overflowPunct/>
        <w:topLinePunct w:val="0"/>
        <w:autoSpaceDE/>
        <w:autoSpaceDN/>
        <w:bidi w:val="0"/>
        <w:adjustRightInd w:val="0"/>
        <w:snapToGrid w:val="0"/>
        <w:spacing w:line="560" w:lineRule="exact"/>
        <w:ind w:left="0" w:leftChars="0" w:firstLine="500"/>
        <w:jc w:val="left"/>
        <w:textAlignment w:val="auto"/>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（六）标杆管理法。是指以国内外同行业中较高的绩效水平为标杆进行评判的方法。</w:t>
      </w:r>
    </w:p>
    <w:p>
      <w:pPr>
        <w:pStyle w:val="9"/>
        <w:keepNext w:val="0"/>
        <w:keepLines w:val="0"/>
        <w:pageBreakBefore w:val="0"/>
        <w:kinsoku/>
        <w:wordWrap/>
        <w:overflowPunct/>
        <w:topLinePunct w:val="0"/>
        <w:autoSpaceDE/>
        <w:autoSpaceDN/>
        <w:bidi w:val="0"/>
        <w:adjustRightInd w:val="0"/>
        <w:snapToGrid w:val="0"/>
        <w:spacing w:line="560" w:lineRule="exact"/>
        <w:ind w:left="0" w:leftChars="0" w:firstLine="500"/>
        <w:jc w:val="left"/>
        <w:textAlignment w:val="auto"/>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（七）其他评价方法。</w:t>
      </w:r>
    </w:p>
    <w:p>
      <w:pPr>
        <w:keepNext w:val="0"/>
        <w:keepLines w:val="0"/>
        <w:pageBreakBefore w:val="0"/>
        <w:kinsoku/>
        <w:wordWrap/>
        <w:overflowPunct/>
        <w:topLinePunct w:val="0"/>
        <w:autoSpaceDE/>
        <w:autoSpaceDN/>
        <w:bidi w:val="0"/>
        <w:adjustRightInd w:val="0"/>
        <w:snapToGrid w:val="0"/>
        <w:spacing w:line="560" w:lineRule="exact"/>
        <w:ind w:left="0" w:leftChars="0" w:firstLine="585"/>
        <w:textAlignment w:val="auto"/>
        <w:rPr>
          <w:rFonts w:ascii="Times New Roman" w:hAnsi="Times New Roman" w:eastAsia="仿宋_GB2312"/>
          <w:b/>
          <w:color w:val="auto"/>
          <w:sz w:val="28"/>
          <w:szCs w:val="28"/>
          <w:highlight w:val="none"/>
        </w:rPr>
      </w:pPr>
      <w:r>
        <w:rPr>
          <w:rFonts w:hint="eastAsia" w:ascii="Times New Roman" w:hAnsi="Times New Roman" w:eastAsia="仿宋_GB2312"/>
          <w:b/>
          <w:color w:val="auto"/>
          <w:sz w:val="28"/>
          <w:szCs w:val="28"/>
          <w:highlight w:val="none"/>
        </w:rPr>
        <w:t>文献</w:t>
      </w:r>
      <w:r>
        <w:rPr>
          <w:rFonts w:ascii="Times New Roman" w:hAnsi="Times New Roman" w:eastAsia="仿宋_GB2312"/>
          <w:b/>
          <w:color w:val="auto"/>
          <w:sz w:val="28"/>
          <w:szCs w:val="28"/>
          <w:highlight w:val="none"/>
        </w:rPr>
        <w:t>法</w:t>
      </w:r>
      <w:r>
        <w:rPr>
          <w:rFonts w:hint="eastAsia" w:ascii="Times New Roman" w:hAnsi="Times New Roman" w:eastAsia="仿宋_GB2312"/>
          <w:b/>
          <w:color w:val="auto"/>
          <w:sz w:val="28"/>
          <w:szCs w:val="28"/>
          <w:highlight w:val="none"/>
        </w:rPr>
        <w:t>：</w:t>
      </w:r>
      <w:r>
        <w:rPr>
          <w:rFonts w:ascii="Times New Roman" w:hAnsi="Times New Roman" w:eastAsia="仿宋_GB2312"/>
          <w:color w:val="auto"/>
          <w:sz w:val="28"/>
          <w:szCs w:val="28"/>
          <w:highlight w:val="none"/>
        </w:rPr>
        <w:t>通过</w:t>
      </w:r>
      <w:r>
        <w:rPr>
          <w:rFonts w:hint="eastAsia" w:ascii="Times New Roman" w:hAnsi="Times New Roman" w:eastAsia="仿宋_GB2312"/>
          <w:color w:val="auto"/>
          <w:sz w:val="28"/>
          <w:szCs w:val="28"/>
          <w:highlight w:val="none"/>
        </w:rPr>
        <w:t>检索、查阅、梳理国家、自治区、地州有关政府部门制定的劳动密集型产业发展的相关的政策文件，了解本专项资金政策内容、目标，以及上级的相关产业规划，考察本专项资金设立与国家、自治区相关战略规划是否匹配</w:t>
      </w:r>
      <w:r>
        <w:rPr>
          <w:rFonts w:ascii="Times New Roman" w:hAnsi="Times New Roman" w:eastAsia="仿宋_GB2312"/>
          <w:color w:val="auto"/>
          <w:sz w:val="28"/>
          <w:szCs w:val="28"/>
          <w:highlight w:val="none"/>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585"/>
        <w:textAlignment w:val="auto"/>
        <w:rPr>
          <w:rFonts w:hint="eastAsia" w:ascii="Times New Roman" w:hAnsi="Times New Roman" w:eastAsia="仿宋_GB2312"/>
          <w:b/>
          <w:color w:val="auto"/>
          <w:sz w:val="28"/>
          <w:szCs w:val="28"/>
          <w:highlight w:val="none"/>
        </w:rPr>
      </w:pPr>
      <w:r>
        <w:rPr>
          <w:rFonts w:hint="eastAsia" w:ascii="Times New Roman" w:hAnsi="Times New Roman" w:eastAsia="仿宋_GB2312"/>
          <w:b/>
          <w:bCs/>
          <w:color w:val="auto"/>
          <w:sz w:val="28"/>
          <w:szCs w:val="28"/>
          <w:highlight w:val="none"/>
        </w:rPr>
        <w:t>材料核实法：</w:t>
      </w:r>
      <w:r>
        <w:rPr>
          <w:rFonts w:hint="eastAsia" w:ascii="Times New Roman" w:hAnsi="Times New Roman" w:eastAsia="仿宋_GB2312"/>
          <w:bCs/>
          <w:color w:val="auto"/>
          <w:sz w:val="28"/>
          <w:szCs w:val="28"/>
          <w:highlight w:val="none"/>
        </w:rPr>
        <w:t>通过查账了解项目资金实际开支情况，包括是否专款专用、是否按标准支出。检查实施单位专项资金凭证及账册，核实项目资金拨付时间、金额、支出时间、内容、范围和标准等，核实各项支出是否按照资金管理办法的范围和标准执行，是否存在超范围列支的情况。</w:t>
      </w:r>
    </w:p>
    <w:p>
      <w:pPr>
        <w:pStyle w:val="9"/>
        <w:keepNext w:val="0"/>
        <w:keepLines w:val="0"/>
        <w:pageBreakBefore w:val="0"/>
        <w:shd w:val="clear" w:color="auto" w:fill="auto"/>
        <w:kinsoku/>
        <w:wordWrap/>
        <w:overflowPunct/>
        <w:topLinePunct w:val="0"/>
        <w:autoSpaceDE/>
        <w:autoSpaceDN/>
        <w:bidi w:val="0"/>
        <w:adjustRightInd w:val="0"/>
        <w:snapToGrid w:val="0"/>
        <w:spacing w:line="560" w:lineRule="exact"/>
        <w:ind w:left="0" w:leftChars="0" w:firstLine="640"/>
        <w:textAlignment w:val="auto"/>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投资审计专项经费主要用于项目控制价咨询及委托审计，根据项目资金的性质和特点，我们选用最低成本法对项目进行评价。</w:t>
      </w:r>
    </w:p>
    <w:p>
      <w:pPr>
        <w:pStyle w:val="9"/>
        <w:keepNext w:val="0"/>
        <w:keepLines w:val="0"/>
        <w:pageBreakBefore w:val="0"/>
        <w:shd w:val="clear" w:color="auto" w:fill="auto"/>
        <w:kinsoku/>
        <w:wordWrap/>
        <w:overflowPunct/>
        <w:topLinePunct w:val="0"/>
        <w:autoSpaceDE/>
        <w:autoSpaceDN/>
        <w:bidi w:val="0"/>
        <w:adjustRightInd w:val="0"/>
        <w:snapToGrid w:val="0"/>
        <w:spacing w:line="560" w:lineRule="exact"/>
        <w:ind w:left="0" w:leftChars="0" w:firstLine="640"/>
        <w:textAlignment w:val="auto"/>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通过对第三方委托服务公司的报价、专业性、业内评价口碑等进行比较衡量。为了更加客观的对业务进行评价，评价组对固定委托单位进行电话咨询，对比分析，有效推进项目的开展进程，最大程度上在保持高质量的情况下，节约审计经费，达到预期的经济产出目标，项目的实施能够产生社会效益。</w:t>
      </w:r>
    </w:p>
    <w:p>
      <w:pPr>
        <w:keepNext w:val="0"/>
        <w:keepLines w:val="0"/>
        <w:pageBreakBefore w:val="0"/>
        <w:numPr>
          <w:ilvl w:val="0"/>
          <w:numId w:val="3"/>
        </w:numPr>
        <w:kinsoku/>
        <w:wordWrap/>
        <w:overflowPunct/>
        <w:topLinePunct w:val="0"/>
        <w:autoSpaceDE/>
        <w:autoSpaceDN/>
        <w:bidi w:val="0"/>
        <w:adjustRightInd w:val="0"/>
        <w:snapToGrid w:val="0"/>
        <w:spacing w:line="560" w:lineRule="exact"/>
        <w:ind w:left="0" w:leftChars="0"/>
        <w:textAlignment w:val="auto"/>
        <w:rPr>
          <w:rFonts w:hint="eastAsia" w:ascii="Times New Roman" w:hAnsi="Times New Roman" w:eastAsia="仿宋_GB2312" w:cs="Times New Roman"/>
          <w:bCs/>
          <w:sz w:val="28"/>
          <w:szCs w:val="28"/>
          <w:highlight w:val="none"/>
        </w:rPr>
      </w:pPr>
      <w:r>
        <w:rPr>
          <w:rFonts w:hint="eastAsia" w:ascii="Times New Roman" w:hAnsi="Times New Roman" w:eastAsia="仿宋_GB2312" w:cs="Times New Roman"/>
          <w:bCs/>
          <w:sz w:val="28"/>
          <w:szCs w:val="28"/>
          <w:highlight w:val="none"/>
        </w:rPr>
        <w:t>绩效评价标准</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rPr>
          <w:rFonts w:hint="eastAsia" w:ascii="仿宋_GB2312" w:hAnsi="Times New Roman" w:eastAsia="仿宋_GB2312" w:cs="Times New Roman"/>
          <w:sz w:val="30"/>
          <w:szCs w:val="24"/>
        </w:rPr>
      </w:pPr>
      <w:r>
        <w:rPr>
          <w:rFonts w:hint="eastAsia" w:ascii="仿宋_GB2312" w:hAnsi="Times New Roman" w:eastAsia="仿宋_GB2312" w:cs="Times New Roman"/>
          <w:sz w:val="30"/>
          <w:szCs w:val="24"/>
        </w:rPr>
        <w:t>绩效评价标准通常包括计划标准、行业标准、历史标准等，用于对绩效指标完成情况进行比较。</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rPr>
          <w:rFonts w:hint="eastAsia" w:ascii="仿宋_GB2312" w:hAnsi="Times New Roman" w:eastAsia="仿宋_GB2312" w:cs="Times New Roman"/>
          <w:sz w:val="30"/>
          <w:szCs w:val="24"/>
        </w:rPr>
      </w:pPr>
      <w:r>
        <w:rPr>
          <w:rFonts w:hint="eastAsia" w:ascii="仿宋_GB2312" w:hAnsi="Times New Roman" w:eastAsia="仿宋_GB2312" w:cs="Times New Roman"/>
          <w:sz w:val="30"/>
          <w:szCs w:val="24"/>
        </w:rPr>
        <w:t>（一）计划标准。指以预先制定的目标、计划、预算、定额等作为评价标准。</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rPr>
          <w:rFonts w:hint="eastAsia" w:ascii="仿宋_GB2312" w:hAnsi="Times New Roman" w:eastAsia="仿宋_GB2312" w:cs="Times New Roman"/>
          <w:sz w:val="30"/>
          <w:szCs w:val="24"/>
        </w:rPr>
      </w:pPr>
      <w:r>
        <w:rPr>
          <w:rFonts w:hint="eastAsia" w:ascii="仿宋_GB2312" w:hAnsi="Times New Roman" w:eastAsia="仿宋_GB2312" w:cs="Times New Roman"/>
          <w:sz w:val="30"/>
          <w:szCs w:val="24"/>
        </w:rPr>
        <w:t>（二）行业标准。指参照国家公布的行业指标数据制定的评价标准。</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rPr>
          <w:rFonts w:hint="eastAsia" w:ascii="仿宋_GB2312" w:hAnsi="Times New Roman" w:eastAsia="仿宋_GB2312" w:cs="Times New Roman"/>
          <w:sz w:val="30"/>
          <w:szCs w:val="24"/>
        </w:rPr>
      </w:pPr>
      <w:r>
        <w:rPr>
          <w:rFonts w:hint="eastAsia" w:ascii="仿宋_GB2312" w:hAnsi="Times New Roman" w:eastAsia="仿宋_GB2312" w:cs="Times New Roman"/>
          <w:sz w:val="30"/>
          <w:szCs w:val="24"/>
        </w:rPr>
        <w:t>（三）历史标准。指参照历史数据制定的评价标准，为体现绩效改进的原则，在可实现的条件下应当确定相对较高的评价标准。</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rPr>
          <w:rFonts w:hint="eastAsia" w:ascii="仿宋_GB2312" w:hAnsi="Times New Roman" w:eastAsia="仿宋_GB2312" w:cs="Times New Roman"/>
          <w:sz w:val="30"/>
          <w:szCs w:val="24"/>
        </w:rPr>
      </w:pPr>
      <w:r>
        <w:rPr>
          <w:rFonts w:hint="eastAsia" w:ascii="仿宋_GB2312" w:hAnsi="Times New Roman" w:eastAsia="仿宋_GB2312" w:cs="Times New Roman"/>
          <w:sz w:val="30"/>
          <w:szCs w:val="24"/>
        </w:rPr>
        <w:t>（四）财政部门和预算部门确认或认可的其他标准。</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rPr>
          <w:rFonts w:hint="eastAsia" w:ascii="仿宋_GB2312" w:hAnsi="Times New Roman" w:eastAsia="仿宋_GB2312" w:cs="Times New Roman"/>
          <w:sz w:val="30"/>
          <w:szCs w:val="24"/>
        </w:rPr>
      </w:pPr>
      <w:r>
        <w:rPr>
          <w:rFonts w:hint="eastAsia" w:ascii="仿宋_GB2312" w:hAnsi="Times New Roman" w:eastAsia="仿宋_GB2312" w:cs="Times New Roman"/>
          <w:sz w:val="30"/>
          <w:szCs w:val="24"/>
          <w:lang w:eastAsia="zh-CN"/>
        </w:rPr>
        <w:t>投资审计专项经费</w:t>
      </w:r>
      <w:r>
        <w:rPr>
          <w:rFonts w:hint="eastAsia" w:ascii="仿宋_GB2312" w:hAnsi="Times New Roman" w:eastAsia="仿宋_GB2312" w:cs="Times New Roman"/>
          <w:sz w:val="30"/>
          <w:szCs w:val="24"/>
        </w:rPr>
        <w:t>属于对已有延续性项目，有相应的行业标准和历史标准，故采用按照历史标准评价该项目。</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rPr>
          <w:rFonts w:hint="eastAsia" w:ascii="仿宋_GB2312" w:hAnsi="Times New Roman" w:eastAsia="仿宋_GB2312" w:cs="Times New Roman"/>
          <w:sz w:val="30"/>
          <w:szCs w:val="24"/>
        </w:rPr>
      </w:pPr>
      <w:r>
        <w:rPr>
          <w:rFonts w:hint="eastAsia" w:ascii="仿宋_GB2312" w:hAnsi="Times New Roman" w:eastAsia="仿宋_GB2312" w:cs="Times New Roman"/>
          <w:sz w:val="30"/>
          <w:szCs w:val="24"/>
        </w:rPr>
        <w:t>（三）绩效评价工作过程。</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rPr>
          <w:rFonts w:hint="eastAsia" w:ascii="仿宋_GB2312" w:hAnsi="Times New Roman" w:eastAsia="仿宋_GB2312" w:cs="Times New Roman"/>
          <w:sz w:val="30"/>
          <w:szCs w:val="24"/>
          <w:highlight w:val="none"/>
        </w:rPr>
      </w:pPr>
      <w:bookmarkStart w:id="5" w:name="bookmark78"/>
      <w:r>
        <w:rPr>
          <w:rFonts w:hint="eastAsia" w:ascii="仿宋_GB2312" w:hAnsi="Times New Roman" w:eastAsia="仿宋_GB2312" w:cs="Times New Roman"/>
          <w:sz w:val="30"/>
          <w:szCs w:val="24"/>
          <w:highlight w:val="none"/>
        </w:rPr>
        <w:t>1</w:t>
      </w:r>
      <w:bookmarkEnd w:id="5"/>
      <w:r>
        <w:rPr>
          <w:rFonts w:hint="eastAsia" w:ascii="仿宋_GB2312" w:hAnsi="Times New Roman" w:eastAsia="仿宋_GB2312" w:cs="Times New Roman"/>
          <w:sz w:val="30"/>
          <w:szCs w:val="24"/>
          <w:highlight w:val="none"/>
        </w:rPr>
        <w:t>、前期准备</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rPr>
          <w:rFonts w:hint="eastAsia" w:ascii="仿宋_GB2312" w:hAnsi="Times New Roman" w:eastAsia="仿宋_GB2312" w:cs="Times New Roman"/>
          <w:sz w:val="30"/>
          <w:szCs w:val="24"/>
          <w:highlight w:val="none"/>
        </w:rPr>
      </w:pPr>
      <w:r>
        <w:rPr>
          <w:rFonts w:hint="eastAsia" w:ascii="仿宋_GB2312" w:hAnsi="Times New Roman" w:eastAsia="仿宋_GB2312" w:cs="Times New Roman"/>
          <w:sz w:val="30"/>
          <w:szCs w:val="24"/>
          <w:highlight w:val="none"/>
        </w:rPr>
        <w:t>2020年12月1日,开始前期准备工作，评价组通过对评价对象前期调研，确定了评价的目的、方法以及评价的原则，根据项目的内容和特征制定了评价指标体系及评价标准以及评价实施方案，修正并确定所需资料清单，最终确定实施方案。</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rPr>
          <w:rFonts w:hint="eastAsia" w:ascii="仿宋_GB2312" w:hAnsi="Times New Roman" w:eastAsia="仿宋_GB2312" w:cs="Times New Roman"/>
          <w:sz w:val="30"/>
          <w:szCs w:val="24"/>
          <w:highlight w:val="none"/>
        </w:rPr>
      </w:pPr>
      <w:bookmarkStart w:id="6" w:name="bookmark79"/>
      <w:r>
        <w:rPr>
          <w:rFonts w:hint="eastAsia" w:ascii="仿宋_GB2312" w:hAnsi="Times New Roman" w:eastAsia="仿宋_GB2312" w:cs="Times New Roman"/>
          <w:sz w:val="30"/>
          <w:szCs w:val="24"/>
          <w:highlight w:val="none"/>
        </w:rPr>
        <w:t>2</w:t>
      </w:r>
      <w:bookmarkEnd w:id="6"/>
      <w:r>
        <w:rPr>
          <w:rFonts w:hint="eastAsia" w:ascii="仿宋_GB2312" w:hAnsi="Times New Roman" w:eastAsia="仿宋_GB2312" w:cs="Times New Roman"/>
          <w:sz w:val="30"/>
          <w:szCs w:val="24"/>
          <w:highlight w:val="none"/>
        </w:rPr>
        <w:t>、组织实施</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rPr>
          <w:rFonts w:hint="eastAsia" w:ascii="仿宋_GB2312" w:hAnsi="Times New Roman" w:eastAsia="仿宋_GB2312" w:cs="Times New Roman"/>
          <w:sz w:val="30"/>
          <w:szCs w:val="24"/>
          <w:highlight w:val="none"/>
        </w:rPr>
      </w:pPr>
      <w:r>
        <w:rPr>
          <w:rFonts w:hint="eastAsia" w:ascii="仿宋_GB2312" w:hAnsi="Times New Roman" w:eastAsia="仿宋_GB2312" w:cs="Times New Roman"/>
          <w:sz w:val="30"/>
          <w:szCs w:val="24"/>
          <w:highlight w:val="none"/>
        </w:rPr>
        <w:t>2020年12月1日-12月7日，评价工作进入实施阶段。 在数据采集方面，评价组整理单位前期提交的资料，与项目实施负责人沟通，了解资金的内容、操作流程、管理机制、资金使用方向等情况；进行信息采集，了解项目设置背景及资金使用等情况</w:t>
      </w:r>
      <w:bookmarkStart w:id="7" w:name="bookmark80"/>
      <w:r>
        <w:rPr>
          <w:rFonts w:hint="eastAsia" w:ascii="仿宋_GB2312" w:hAnsi="Times New Roman" w:eastAsia="仿宋_GB2312" w:cs="Times New Roman"/>
          <w:sz w:val="30"/>
          <w:szCs w:val="24"/>
          <w:highlight w:val="none"/>
        </w:rPr>
        <w:t>。</w:t>
      </w:r>
      <w:bookmarkEnd w:id="7"/>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rPr>
          <w:rFonts w:hint="eastAsia" w:ascii="仿宋_GB2312" w:hAnsi="Times New Roman" w:eastAsia="仿宋_GB2312" w:cs="Times New Roman"/>
          <w:sz w:val="30"/>
          <w:szCs w:val="24"/>
          <w:highlight w:val="none"/>
        </w:rPr>
      </w:pPr>
      <w:r>
        <w:rPr>
          <w:rFonts w:hint="eastAsia" w:ascii="仿宋_GB2312" w:hAnsi="Times New Roman" w:eastAsia="仿宋_GB2312" w:cs="Times New Roman"/>
          <w:sz w:val="30"/>
          <w:szCs w:val="24"/>
          <w:highlight w:val="none"/>
        </w:rPr>
        <w:t>3、分析评价</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rPr>
          <w:rFonts w:hint="eastAsia" w:ascii="仿宋_GB2312" w:hAnsi="Times New Roman" w:eastAsia="仿宋_GB2312" w:cs="Times New Roman"/>
          <w:sz w:val="30"/>
          <w:szCs w:val="24"/>
          <w:highlight w:val="none"/>
        </w:rPr>
      </w:pPr>
      <w:r>
        <w:rPr>
          <w:rFonts w:hint="eastAsia" w:ascii="仿宋_GB2312" w:hAnsi="Times New Roman" w:eastAsia="仿宋_GB2312" w:cs="Times New Roman"/>
          <w:sz w:val="30"/>
          <w:szCs w:val="24"/>
          <w:highlight w:val="none"/>
        </w:rPr>
        <w:t>2020年12月10日-12月18日，评价组按照绩效评价的原则和规范，对取得的资料进行审查核实，对采集的数据进行分析，按照绩效评价指标评分表逐项进行打分、分析，汇总各方评价结果，综合分析并形成评价结论。</w:t>
      </w:r>
    </w:p>
    <w:p>
      <w:pPr>
        <w:keepNext w:val="0"/>
        <w:keepLines w:val="0"/>
        <w:pageBreakBefore w:val="0"/>
        <w:numPr>
          <w:ilvl w:val="0"/>
          <w:numId w:val="4"/>
        </w:numPr>
        <w:kinsoku/>
        <w:wordWrap/>
        <w:overflowPunct/>
        <w:topLinePunct w:val="0"/>
        <w:autoSpaceDE/>
        <w:autoSpaceDN/>
        <w:bidi w:val="0"/>
        <w:adjustRightInd w:val="0"/>
        <w:snapToGrid w:val="0"/>
        <w:spacing w:line="560" w:lineRule="exact"/>
        <w:ind w:left="0" w:leftChars="0" w:firstLine="640" w:firstLineChars="200"/>
        <w:textAlignment w:val="auto"/>
        <w:rPr>
          <w:rFonts w:ascii="黑体" w:hAnsi="黑体" w:eastAsia="黑体"/>
          <w:sz w:val="32"/>
          <w:szCs w:val="32"/>
        </w:rPr>
      </w:pPr>
      <w:r>
        <w:rPr>
          <w:rFonts w:hint="eastAsia" w:ascii="黑体" w:hAnsi="黑体" w:eastAsia="黑体"/>
          <w:sz w:val="32"/>
          <w:szCs w:val="32"/>
        </w:rPr>
        <w:t>综合评价情况及评价结论</w:t>
      </w:r>
    </w:p>
    <w:p>
      <w:pPr>
        <w:pStyle w:val="9"/>
        <w:keepNext w:val="0"/>
        <w:keepLines w:val="0"/>
        <w:pageBreakBefore w:val="0"/>
        <w:kinsoku/>
        <w:wordWrap/>
        <w:overflowPunct/>
        <w:topLinePunct w:val="0"/>
        <w:autoSpaceDE/>
        <w:autoSpaceDN/>
        <w:bidi w:val="0"/>
        <w:adjustRightInd w:val="0"/>
        <w:snapToGrid w:val="0"/>
        <w:spacing w:line="560" w:lineRule="exact"/>
        <w:ind w:left="0" w:leftChars="0" w:firstLine="602" w:firstLineChars="200"/>
        <w:textAlignment w:val="auto"/>
        <w:rPr>
          <w:rFonts w:ascii="仿宋_GB2312" w:hAnsi="Times New Roman" w:eastAsia="仿宋_GB2312" w:cs="Times New Roman"/>
          <w:b/>
          <w:szCs w:val="24"/>
          <w:lang w:val="en-US" w:eastAsia="zh-CN" w:bidi="ar-SA"/>
        </w:rPr>
      </w:pPr>
      <w:r>
        <w:rPr>
          <w:rFonts w:hint="eastAsia" w:ascii="仿宋_GB2312" w:hAnsi="Times New Roman" w:eastAsia="仿宋_GB2312" w:cs="Times New Roman"/>
          <w:b/>
          <w:szCs w:val="24"/>
          <w:lang w:val="en-US" w:eastAsia="zh-CN" w:bidi="ar-SA"/>
        </w:rPr>
        <w:t>（一）综合评价情况</w:t>
      </w:r>
    </w:p>
    <w:p>
      <w:pPr>
        <w:pStyle w:val="9"/>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 w:hAnsi="仿宋" w:eastAsia="仿宋" w:cs="Times New Roman"/>
          <w:sz w:val="32"/>
          <w:szCs w:val="32"/>
          <w:lang w:val="en-US" w:eastAsia="zh-CN" w:bidi="ar-SA"/>
        </w:rPr>
      </w:pPr>
      <w:r>
        <w:rPr>
          <w:rFonts w:hint="eastAsia" w:ascii="仿宋" w:hAnsi="仿宋" w:eastAsia="仿宋" w:cs="Times New Roman"/>
          <w:sz w:val="32"/>
          <w:szCs w:val="32"/>
          <w:lang w:val="en-US" w:eastAsia="zh-CN" w:bidi="ar-SA"/>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乌尔禾区审计局投资审计专项经费综合得分为100分。</w:t>
      </w:r>
    </w:p>
    <w:p>
      <w:pPr>
        <w:pStyle w:val="9"/>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 w:hAnsi="仿宋" w:eastAsia="仿宋" w:cs="Times New Roman"/>
          <w:sz w:val="32"/>
          <w:szCs w:val="32"/>
          <w:lang w:val="en-US" w:eastAsia="zh-CN" w:bidi="ar-SA"/>
        </w:rPr>
      </w:pPr>
    </w:p>
    <w:p>
      <w:pPr>
        <w:pStyle w:val="9"/>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 w:hAnsi="仿宋" w:eastAsia="仿宋" w:cs="Times New Roman"/>
          <w:sz w:val="32"/>
          <w:szCs w:val="32"/>
          <w:lang w:val="en-US" w:eastAsia="zh-CN" w:bidi="ar-SA"/>
        </w:rPr>
      </w:pPr>
    </w:p>
    <w:p>
      <w:pPr>
        <w:pStyle w:val="9"/>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 w:hAnsi="仿宋" w:eastAsia="仿宋" w:cs="Times New Roman"/>
          <w:sz w:val="32"/>
          <w:szCs w:val="32"/>
          <w:lang w:val="en-US" w:eastAsia="zh-CN" w:bidi="ar-SA"/>
        </w:rPr>
      </w:pPr>
    </w:p>
    <w:p>
      <w:pPr>
        <w:pStyle w:val="9"/>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 w:hAnsi="仿宋" w:eastAsia="仿宋" w:cs="Times New Roman"/>
          <w:sz w:val="32"/>
          <w:szCs w:val="32"/>
          <w:lang w:val="en-US" w:eastAsia="zh-CN" w:bidi="ar-SA"/>
        </w:rPr>
      </w:pPr>
    </w:p>
    <w:p>
      <w:pPr>
        <w:pStyle w:val="9"/>
        <w:keepNext w:val="0"/>
        <w:keepLines w:val="0"/>
        <w:pageBreakBefore w:val="0"/>
        <w:widowControl w:val="0"/>
        <w:shd w:val="clear" w:color="auto" w:fill="auto"/>
        <w:kinsoku/>
        <w:wordWrap/>
        <w:overflowPunct/>
        <w:topLinePunct w:val="0"/>
        <w:autoSpaceDE/>
        <w:autoSpaceDN/>
        <w:bidi w:val="0"/>
        <w:adjustRightInd w:val="0"/>
        <w:snapToGrid w:val="0"/>
        <w:spacing w:line="560" w:lineRule="exact"/>
        <w:ind w:left="0" w:leftChars="0" w:firstLine="0" w:firstLineChars="0"/>
        <w:jc w:val="center"/>
        <w:textAlignment w:val="auto"/>
        <w:rPr>
          <w:rFonts w:hint="eastAsia" w:ascii="仿宋_GB2312" w:hAnsi="Times New Roman" w:eastAsia="仿宋_GB2312" w:cs="Times New Roman"/>
          <w:b/>
          <w:szCs w:val="24"/>
          <w:highlight w:val="none"/>
          <w:lang w:val="en-US" w:eastAsia="zh-CN" w:bidi="ar-SA"/>
        </w:rPr>
      </w:pPr>
    </w:p>
    <w:p>
      <w:pPr>
        <w:pStyle w:val="9"/>
        <w:keepNext w:val="0"/>
        <w:keepLines w:val="0"/>
        <w:pageBreakBefore w:val="0"/>
        <w:widowControl w:val="0"/>
        <w:shd w:val="clear" w:color="auto" w:fill="auto"/>
        <w:kinsoku/>
        <w:wordWrap/>
        <w:overflowPunct/>
        <w:topLinePunct w:val="0"/>
        <w:autoSpaceDE/>
        <w:autoSpaceDN/>
        <w:bidi w:val="0"/>
        <w:adjustRightInd w:val="0"/>
        <w:snapToGrid w:val="0"/>
        <w:spacing w:line="560" w:lineRule="exact"/>
        <w:ind w:left="0" w:leftChars="0" w:firstLine="0" w:firstLineChars="0"/>
        <w:jc w:val="center"/>
        <w:textAlignment w:val="auto"/>
        <w:rPr>
          <w:rFonts w:hint="eastAsia" w:ascii="仿宋_GB2312" w:hAnsi="Times New Roman" w:eastAsia="仿宋_GB2312" w:cs="Times New Roman"/>
          <w:b/>
          <w:szCs w:val="24"/>
          <w:highlight w:val="none"/>
          <w:lang w:val="en-US" w:eastAsia="zh-CN" w:bidi="ar-SA"/>
        </w:rPr>
      </w:pPr>
    </w:p>
    <w:p>
      <w:pPr>
        <w:pStyle w:val="9"/>
        <w:keepNext w:val="0"/>
        <w:keepLines w:val="0"/>
        <w:pageBreakBefore w:val="0"/>
        <w:widowControl w:val="0"/>
        <w:shd w:val="clear" w:color="auto" w:fill="auto"/>
        <w:kinsoku/>
        <w:wordWrap/>
        <w:overflowPunct/>
        <w:topLinePunct w:val="0"/>
        <w:autoSpaceDE/>
        <w:autoSpaceDN/>
        <w:bidi w:val="0"/>
        <w:adjustRightInd w:val="0"/>
        <w:snapToGrid w:val="0"/>
        <w:spacing w:line="560" w:lineRule="exact"/>
        <w:ind w:left="0" w:leftChars="0" w:firstLine="0" w:firstLineChars="0"/>
        <w:jc w:val="center"/>
        <w:textAlignment w:val="auto"/>
        <w:rPr>
          <w:rFonts w:hint="eastAsia" w:ascii="仿宋_GB2312" w:hAnsi="Times New Roman" w:eastAsia="仿宋_GB2312" w:cs="Times New Roman"/>
          <w:b/>
          <w:szCs w:val="24"/>
          <w:highlight w:val="none"/>
          <w:lang w:val="en-US" w:eastAsia="zh-CN" w:bidi="ar-SA"/>
        </w:rPr>
      </w:pPr>
    </w:p>
    <w:p>
      <w:pPr>
        <w:pStyle w:val="9"/>
        <w:keepNext w:val="0"/>
        <w:keepLines w:val="0"/>
        <w:pageBreakBefore w:val="0"/>
        <w:widowControl w:val="0"/>
        <w:shd w:val="clear" w:color="auto" w:fill="auto"/>
        <w:kinsoku/>
        <w:wordWrap/>
        <w:overflowPunct/>
        <w:topLinePunct w:val="0"/>
        <w:autoSpaceDE/>
        <w:autoSpaceDN/>
        <w:bidi w:val="0"/>
        <w:adjustRightInd w:val="0"/>
        <w:snapToGrid w:val="0"/>
        <w:spacing w:line="560" w:lineRule="exact"/>
        <w:ind w:left="0" w:leftChars="0" w:firstLine="0" w:firstLineChars="0"/>
        <w:jc w:val="center"/>
        <w:textAlignment w:val="auto"/>
        <w:rPr>
          <w:rFonts w:hint="eastAsia" w:ascii="仿宋_GB2312" w:hAnsi="Times New Roman" w:eastAsia="仿宋_GB2312" w:cs="Times New Roman"/>
          <w:b/>
          <w:szCs w:val="24"/>
          <w:highlight w:val="none"/>
          <w:lang w:val="en-US" w:eastAsia="zh-CN" w:bidi="ar-SA"/>
        </w:rPr>
      </w:pPr>
    </w:p>
    <w:p>
      <w:pPr>
        <w:pStyle w:val="9"/>
        <w:keepNext w:val="0"/>
        <w:keepLines w:val="0"/>
        <w:pageBreakBefore w:val="0"/>
        <w:widowControl w:val="0"/>
        <w:shd w:val="clear" w:color="auto" w:fill="auto"/>
        <w:kinsoku/>
        <w:wordWrap/>
        <w:overflowPunct/>
        <w:topLinePunct w:val="0"/>
        <w:autoSpaceDE/>
        <w:autoSpaceDN/>
        <w:bidi w:val="0"/>
        <w:adjustRightInd w:val="0"/>
        <w:snapToGrid w:val="0"/>
        <w:spacing w:line="560" w:lineRule="exact"/>
        <w:ind w:left="0" w:leftChars="0" w:firstLine="0" w:firstLineChars="0"/>
        <w:jc w:val="center"/>
        <w:textAlignment w:val="auto"/>
        <w:rPr>
          <w:rFonts w:hint="eastAsia" w:ascii="仿宋_GB2312" w:hAnsi="Times New Roman" w:eastAsia="仿宋_GB2312" w:cs="Times New Roman"/>
          <w:b/>
          <w:szCs w:val="24"/>
          <w:highlight w:val="none"/>
          <w:lang w:val="en-US" w:eastAsia="zh-CN" w:bidi="ar-SA"/>
        </w:rPr>
      </w:pPr>
    </w:p>
    <w:p>
      <w:pPr>
        <w:pStyle w:val="9"/>
        <w:keepNext w:val="0"/>
        <w:keepLines w:val="0"/>
        <w:pageBreakBefore w:val="0"/>
        <w:widowControl w:val="0"/>
        <w:shd w:val="clear" w:color="auto" w:fill="auto"/>
        <w:kinsoku/>
        <w:wordWrap/>
        <w:overflowPunct/>
        <w:topLinePunct w:val="0"/>
        <w:autoSpaceDE/>
        <w:autoSpaceDN/>
        <w:bidi w:val="0"/>
        <w:adjustRightInd w:val="0"/>
        <w:snapToGrid w:val="0"/>
        <w:spacing w:line="560" w:lineRule="exact"/>
        <w:ind w:left="0" w:leftChars="0" w:firstLine="0" w:firstLineChars="0"/>
        <w:jc w:val="center"/>
        <w:textAlignment w:val="auto"/>
        <w:rPr>
          <w:rFonts w:hint="eastAsia" w:ascii="仿宋_GB2312" w:hAnsi="Times New Roman" w:eastAsia="仿宋_GB2312" w:cs="Times New Roman"/>
          <w:b/>
          <w:szCs w:val="24"/>
          <w:highlight w:val="none"/>
          <w:lang w:val="en-US" w:eastAsia="zh-CN" w:bidi="ar-SA"/>
        </w:rPr>
      </w:pPr>
      <w:r>
        <w:rPr>
          <w:rFonts w:hint="eastAsia" w:ascii="仿宋_GB2312" w:hAnsi="Times New Roman" w:eastAsia="仿宋_GB2312" w:cs="Times New Roman"/>
          <w:b/>
          <w:szCs w:val="24"/>
          <w:highlight w:val="none"/>
          <w:lang w:val="en-US" w:eastAsia="zh-CN" w:bidi="ar-SA"/>
        </w:rPr>
        <w:t>投资审计专项经费评价得分情况</w:t>
      </w:r>
    </w:p>
    <w:tbl>
      <w:tblPr>
        <w:tblStyle w:val="5"/>
        <w:tblW w:w="9309" w:type="dxa"/>
        <w:jc w:val="center"/>
        <w:tblLayout w:type="fixed"/>
        <w:tblCellMar>
          <w:top w:w="0" w:type="dxa"/>
          <w:left w:w="10" w:type="dxa"/>
          <w:bottom w:w="0" w:type="dxa"/>
          <w:right w:w="10" w:type="dxa"/>
        </w:tblCellMar>
      </w:tblPr>
      <w:tblGrid>
        <w:gridCol w:w="1447"/>
        <w:gridCol w:w="2045"/>
        <w:gridCol w:w="1951"/>
        <w:gridCol w:w="3866"/>
      </w:tblGrid>
      <w:tr>
        <w:tblPrEx>
          <w:tblCellMar>
            <w:top w:w="0" w:type="dxa"/>
            <w:left w:w="10" w:type="dxa"/>
            <w:bottom w:w="0" w:type="dxa"/>
            <w:right w:w="10" w:type="dxa"/>
          </w:tblCellMar>
        </w:tblPrEx>
        <w:trPr>
          <w:trHeight w:val="749" w:hRule="exact"/>
          <w:jc w:val="center"/>
        </w:trPr>
        <w:tc>
          <w:tcPr>
            <w:tcW w:w="1447" w:type="dxa"/>
            <w:tcBorders>
              <w:top w:val="single" w:color="auto" w:sz="4" w:space="0"/>
              <w:left w:val="single" w:color="auto" w:sz="4" w:space="0"/>
            </w:tcBorders>
            <w:shd w:val="clear" w:color="auto" w:fill="FFFFFF"/>
            <w:noWrap w:val="0"/>
            <w:vAlign w:val="center"/>
          </w:tcPr>
          <w:p>
            <w:pPr>
              <w:pStyle w:val="11"/>
              <w:keepNext w:val="0"/>
              <w:keepLines w:val="0"/>
              <w:pageBreakBefore w:val="0"/>
              <w:kinsoku/>
              <w:wordWrap/>
              <w:overflowPunct/>
              <w:topLinePunct w:val="0"/>
              <w:autoSpaceDE/>
              <w:autoSpaceDN/>
              <w:bidi w:val="0"/>
              <w:adjustRightInd w:val="0"/>
              <w:snapToGrid w:val="0"/>
              <w:spacing w:line="560" w:lineRule="exact"/>
              <w:ind w:left="0" w:leftChars="0" w:firstLine="0"/>
              <w:jc w:val="center"/>
              <w:textAlignment w:val="auto"/>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指标类别</w:t>
            </w:r>
          </w:p>
        </w:tc>
        <w:tc>
          <w:tcPr>
            <w:tcW w:w="2045" w:type="dxa"/>
            <w:tcBorders>
              <w:top w:val="single" w:color="auto" w:sz="4" w:space="0"/>
              <w:left w:val="single" w:color="auto" w:sz="4" w:space="0"/>
            </w:tcBorders>
            <w:shd w:val="clear" w:color="auto" w:fill="FFFFFF"/>
            <w:noWrap w:val="0"/>
            <w:vAlign w:val="center"/>
          </w:tcPr>
          <w:p>
            <w:pPr>
              <w:pStyle w:val="11"/>
              <w:keepNext w:val="0"/>
              <w:keepLines w:val="0"/>
              <w:pageBreakBefore w:val="0"/>
              <w:kinsoku/>
              <w:wordWrap/>
              <w:overflowPunct/>
              <w:topLinePunct w:val="0"/>
              <w:autoSpaceDE/>
              <w:autoSpaceDN/>
              <w:bidi w:val="0"/>
              <w:adjustRightInd w:val="0"/>
              <w:snapToGrid w:val="0"/>
              <w:spacing w:line="560" w:lineRule="exact"/>
              <w:ind w:left="0" w:leftChars="0" w:firstLine="0"/>
              <w:jc w:val="center"/>
              <w:textAlignment w:val="auto"/>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分值</w:t>
            </w:r>
          </w:p>
        </w:tc>
        <w:tc>
          <w:tcPr>
            <w:tcW w:w="1951" w:type="dxa"/>
            <w:tcBorders>
              <w:top w:val="single" w:color="auto" w:sz="4" w:space="0"/>
              <w:left w:val="single" w:color="auto" w:sz="4" w:space="0"/>
            </w:tcBorders>
            <w:shd w:val="clear" w:color="auto" w:fill="FFFFFF"/>
            <w:noWrap w:val="0"/>
            <w:vAlign w:val="center"/>
          </w:tcPr>
          <w:p>
            <w:pPr>
              <w:pStyle w:val="11"/>
              <w:keepNext w:val="0"/>
              <w:keepLines w:val="0"/>
              <w:pageBreakBefore w:val="0"/>
              <w:kinsoku/>
              <w:wordWrap/>
              <w:overflowPunct/>
              <w:topLinePunct w:val="0"/>
              <w:autoSpaceDE/>
              <w:autoSpaceDN/>
              <w:bidi w:val="0"/>
              <w:adjustRightInd w:val="0"/>
              <w:snapToGrid w:val="0"/>
              <w:spacing w:line="560" w:lineRule="exact"/>
              <w:ind w:left="0" w:leftChars="0" w:firstLine="0"/>
              <w:jc w:val="center"/>
              <w:textAlignment w:val="auto"/>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评价得分</w:t>
            </w:r>
          </w:p>
        </w:tc>
        <w:tc>
          <w:tcPr>
            <w:tcW w:w="3866" w:type="dxa"/>
            <w:tcBorders>
              <w:top w:val="single" w:color="auto" w:sz="4" w:space="0"/>
              <w:left w:val="single" w:color="auto" w:sz="4" w:space="0"/>
              <w:right w:val="single" w:color="auto" w:sz="4" w:space="0"/>
            </w:tcBorders>
            <w:shd w:val="clear" w:color="auto" w:fill="FFFFFF"/>
            <w:noWrap w:val="0"/>
            <w:vAlign w:val="center"/>
          </w:tcPr>
          <w:p>
            <w:pPr>
              <w:pStyle w:val="11"/>
              <w:keepNext w:val="0"/>
              <w:keepLines w:val="0"/>
              <w:pageBreakBefore w:val="0"/>
              <w:kinsoku/>
              <w:wordWrap/>
              <w:overflowPunct/>
              <w:topLinePunct w:val="0"/>
              <w:autoSpaceDE/>
              <w:autoSpaceDN/>
              <w:bidi w:val="0"/>
              <w:adjustRightInd w:val="0"/>
              <w:snapToGrid w:val="0"/>
              <w:spacing w:line="560" w:lineRule="exact"/>
              <w:ind w:left="0" w:leftChars="0" w:firstLine="0"/>
              <w:jc w:val="center"/>
              <w:textAlignment w:val="auto"/>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备注</w:t>
            </w:r>
          </w:p>
        </w:tc>
      </w:tr>
      <w:tr>
        <w:tblPrEx>
          <w:tblCellMar>
            <w:top w:w="0" w:type="dxa"/>
            <w:left w:w="10" w:type="dxa"/>
            <w:bottom w:w="0" w:type="dxa"/>
            <w:right w:w="10" w:type="dxa"/>
          </w:tblCellMar>
        </w:tblPrEx>
        <w:trPr>
          <w:trHeight w:val="1385" w:hRule="exact"/>
          <w:jc w:val="center"/>
        </w:trPr>
        <w:tc>
          <w:tcPr>
            <w:tcW w:w="1447" w:type="dxa"/>
            <w:tcBorders>
              <w:top w:val="single" w:color="auto" w:sz="4" w:space="0"/>
              <w:left w:val="single" w:color="auto" w:sz="4" w:space="0"/>
            </w:tcBorders>
            <w:shd w:val="clear" w:color="auto" w:fill="FFFFFF"/>
            <w:noWrap w:val="0"/>
            <w:vAlign w:val="center"/>
          </w:tcPr>
          <w:p>
            <w:pPr>
              <w:pStyle w:val="11"/>
              <w:keepNext w:val="0"/>
              <w:keepLines w:val="0"/>
              <w:pageBreakBefore w:val="0"/>
              <w:kinsoku/>
              <w:wordWrap/>
              <w:overflowPunct/>
              <w:topLinePunct w:val="0"/>
              <w:autoSpaceDE/>
              <w:autoSpaceDN/>
              <w:bidi w:val="0"/>
              <w:adjustRightInd w:val="0"/>
              <w:snapToGrid w:val="0"/>
              <w:spacing w:line="560" w:lineRule="exact"/>
              <w:ind w:left="0" w:leftChars="0" w:firstLine="0"/>
              <w:jc w:val="center"/>
              <w:textAlignment w:val="auto"/>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决策</w:t>
            </w:r>
          </w:p>
        </w:tc>
        <w:tc>
          <w:tcPr>
            <w:tcW w:w="2045" w:type="dxa"/>
            <w:tcBorders>
              <w:top w:val="single" w:color="auto" w:sz="4" w:space="0"/>
              <w:left w:val="single" w:color="auto" w:sz="4" w:space="0"/>
            </w:tcBorders>
            <w:shd w:val="clear" w:color="auto" w:fill="FFFFFF"/>
            <w:noWrap w:val="0"/>
            <w:vAlign w:val="center"/>
          </w:tcPr>
          <w:p>
            <w:pPr>
              <w:pStyle w:val="11"/>
              <w:keepNext w:val="0"/>
              <w:keepLines w:val="0"/>
              <w:pageBreakBefore w:val="0"/>
              <w:kinsoku/>
              <w:wordWrap/>
              <w:overflowPunct/>
              <w:topLinePunct w:val="0"/>
              <w:autoSpaceDE/>
              <w:autoSpaceDN/>
              <w:bidi w:val="0"/>
              <w:adjustRightInd w:val="0"/>
              <w:snapToGrid w:val="0"/>
              <w:spacing w:line="560" w:lineRule="exact"/>
              <w:ind w:left="0" w:leftChars="0" w:firstLine="0"/>
              <w:jc w:val="center"/>
              <w:textAlignment w:val="auto"/>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23</w:t>
            </w:r>
          </w:p>
        </w:tc>
        <w:tc>
          <w:tcPr>
            <w:tcW w:w="1951" w:type="dxa"/>
            <w:tcBorders>
              <w:top w:val="single" w:color="auto" w:sz="4" w:space="0"/>
              <w:left w:val="single" w:color="auto" w:sz="4" w:space="0"/>
            </w:tcBorders>
            <w:shd w:val="clear" w:color="auto" w:fill="FFFFFF"/>
            <w:noWrap w:val="0"/>
            <w:vAlign w:val="center"/>
          </w:tcPr>
          <w:p>
            <w:pPr>
              <w:pStyle w:val="11"/>
              <w:keepNext w:val="0"/>
              <w:keepLines w:val="0"/>
              <w:pageBreakBefore w:val="0"/>
              <w:kinsoku/>
              <w:wordWrap/>
              <w:overflowPunct/>
              <w:topLinePunct w:val="0"/>
              <w:autoSpaceDE/>
              <w:autoSpaceDN/>
              <w:bidi w:val="0"/>
              <w:adjustRightInd w:val="0"/>
              <w:snapToGrid w:val="0"/>
              <w:spacing w:line="560" w:lineRule="exact"/>
              <w:ind w:left="0" w:leftChars="0" w:firstLine="0"/>
              <w:jc w:val="center"/>
              <w:textAlignment w:val="auto"/>
              <w:rPr>
                <w:rFonts w:hint="default"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23</w:t>
            </w:r>
          </w:p>
        </w:tc>
        <w:tc>
          <w:tcPr>
            <w:tcW w:w="3866" w:type="dxa"/>
            <w:tcBorders>
              <w:top w:val="single" w:color="auto" w:sz="4" w:space="0"/>
              <w:left w:val="single" w:color="auto" w:sz="4" w:space="0"/>
              <w:right w:val="single" w:color="auto" w:sz="4" w:space="0"/>
            </w:tcBorders>
            <w:shd w:val="clear" w:color="auto" w:fill="FFFFFF"/>
            <w:noWrap w:val="0"/>
            <w:vAlign w:val="top"/>
          </w:tcPr>
          <w:p>
            <w:pPr>
              <w:pStyle w:val="11"/>
              <w:keepNext w:val="0"/>
              <w:keepLines w:val="0"/>
              <w:pageBreakBefore w:val="0"/>
              <w:kinsoku/>
              <w:wordWrap/>
              <w:overflowPunct/>
              <w:topLinePunct w:val="0"/>
              <w:autoSpaceDE/>
              <w:autoSpaceDN/>
              <w:bidi w:val="0"/>
              <w:adjustRightInd w:val="0"/>
              <w:snapToGrid w:val="0"/>
              <w:spacing w:line="560" w:lineRule="exact"/>
              <w:ind w:left="0" w:leftChars="0" w:firstLine="0"/>
              <w:textAlignment w:val="auto"/>
              <w:rPr>
                <w:rFonts w:hint="eastAsia" w:ascii="仿宋_GB2312" w:hAnsi="Times New Roman" w:eastAsia="仿宋_GB2312" w:cs="Times New Roman"/>
                <w:szCs w:val="24"/>
                <w:lang w:val="en-US" w:eastAsia="zh-CN" w:bidi="ar-SA"/>
              </w:rPr>
            </w:pPr>
          </w:p>
        </w:tc>
      </w:tr>
      <w:tr>
        <w:tblPrEx>
          <w:tblCellMar>
            <w:top w:w="0" w:type="dxa"/>
            <w:left w:w="10" w:type="dxa"/>
            <w:bottom w:w="0" w:type="dxa"/>
            <w:right w:w="10" w:type="dxa"/>
          </w:tblCellMar>
        </w:tblPrEx>
        <w:trPr>
          <w:trHeight w:val="1007" w:hRule="exact"/>
          <w:jc w:val="center"/>
        </w:trPr>
        <w:tc>
          <w:tcPr>
            <w:tcW w:w="1447" w:type="dxa"/>
            <w:tcBorders>
              <w:top w:val="single" w:color="auto" w:sz="4" w:space="0"/>
              <w:left w:val="single" w:color="auto" w:sz="4" w:space="0"/>
            </w:tcBorders>
            <w:shd w:val="clear" w:color="auto" w:fill="FFFFFF"/>
            <w:noWrap w:val="0"/>
            <w:vAlign w:val="center"/>
          </w:tcPr>
          <w:p>
            <w:pPr>
              <w:pStyle w:val="11"/>
              <w:keepNext w:val="0"/>
              <w:keepLines w:val="0"/>
              <w:pageBreakBefore w:val="0"/>
              <w:kinsoku/>
              <w:wordWrap/>
              <w:overflowPunct/>
              <w:topLinePunct w:val="0"/>
              <w:autoSpaceDE/>
              <w:autoSpaceDN/>
              <w:bidi w:val="0"/>
              <w:adjustRightInd w:val="0"/>
              <w:snapToGrid w:val="0"/>
              <w:spacing w:line="560" w:lineRule="exact"/>
              <w:ind w:left="0" w:leftChars="0" w:firstLine="380"/>
              <w:jc w:val="left"/>
              <w:textAlignment w:val="auto"/>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过程</w:t>
            </w:r>
          </w:p>
        </w:tc>
        <w:tc>
          <w:tcPr>
            <w:tcW w:w="2045" w:type="dxa"/>
            <w:tcBorders>
              <w:top w:val="single" w:color="auto" w:sz="4" w:space="0"/>
              <w:left w:val="single" w:color="auto" w:sz="4" w:space="0"/>
            </w:tcBorders>
            <w:shd w:val="clear" w:color="auto" w:fill="FFFFFF"/>
            <w:noWrap w:val="0"/>
            <w:vAlign w:val="center"/>
          </w:tcPr>
          <w:p>
            <w:pPr>
              <w:pStyle w:val="11"/>
              <w:keepNext w:val="0"/>
              <w:keepLines w:val="0"/>
              <w:pageBreakBefore w:val="0"/>
              <w:kinsoku/>
              <w:wordWrap/>
              <w:overflowPunct/>
              <w:topLinePunct w:val="0"/>
              <w:autoSpaceDE/>
              <w:autoSpaceDN/>
              <w:bidi w:val="0"/>
              <w:adjustRightInd w:val="0"/>
              <w:snapToGrid w:val="0"/>
              <w:spacing w:line="560" w:lineRule="exact"/>
              <w:ind w:left="0" w:leftChars="0" w:firstLine="0"/>
              <w:jc w:val="center"/>
              <w:textAlignment w:val="auto"/>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17</w:t>
            </w:r>
          </w:p>
        </w:tc>
        <w:tc>
          <w:tcPr>
            <w:tcW w:w="1951" w:type="dxa"/>
            <w:tcBorders>
              <w:top w:val="single" w:color="auto" w:sz="4" w:space="0"/>
              <w:left w:val="single" w:color="auto" w:sz="4" w:space="0"/>
            </w:tcBorders>
            <w:shd w:val="clear" w:color="auto" w:fill="FFFFFF"/>
            <w:noWrap w:val="0"/>
            <w:vAlign w:val="center"/>
          </w:tcPr>
          <w:p>
            <w:pPr>
              <w:pStyle w:val="11"/>
              <w:keepNext w:val="0"/>
              <w:keepLines w:val="0"/>
              <w:pageBreakBefore w:val="0"/>
              <w:kinsoku/>
              <w:wordWrap/>
              <w:overflowPunct/>
              <w:topLinePunct w:val="0"/>
              <w:autoSpaceDE/>
              <w:autoSpaceDN/>
              <w:bidi w:val="0"/>
              <w:adjustRightInd w:val="0"/>
              <w:snapToGrid w:val="0"/>
              <w:spacing w:line="560" w:lineRule="exact"/>
              <w:ind w:left="0" w:leftChars="0" w:firstLine="0"/>
              <w:jc w:val="center"/>
              <w:textAlignment w:val="auto"/>
              <w:rPr>
                <w:rFonts w:hint="default"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15</w:t>
            </w:r>
          </w:p>
        </w:tc>
        <w:tc>
          <w:tcPr>
            <w:tcW w:w="3866" w:type="dxa"/>
            <w:tcBorders>
              <w:top w:val="single" w:color="auto" w:sz="4" w:space="0"/>
              <w:left w:val="single" w:color="auto" w:sz="4" w:space="0"/>
              <w:right w:val="single" w:color="auto" w:sz="4" w:space="0"/>
            </w:tcBorders>
            <w:shd w:val="clear" w:color="auto" w:fill="FFFFFF"/>
            <w:noWrap w:val="0"/>
            <w:vAlign w:val="bottom"/>
          </w:tcPr>
          <w:p>
            <w:pPr>
              <w:pStyle w:val="11"/>
              <w:keepNext w:val="0"/>
              <w:keepLines w:val="0"/>
              <w:pageBreakBefore w:val="0"/>
              <w:kinsoku/>
              <w:wordWrap/>
              <w:overflowPunct/>
              <w:topLinePunct w:val="0"/>
              <w:autoSpaceDE/>
              <w:autoSpaceDN/>
              <w:bidi w:val="0"/>
              <w:adjustRightInd w:val="0"/>
              <w:snapToGrid w:val="0"/>
              <w:spacing w:line="560" w:lineRule="exact"/>
              <w:ind w:left="0" w:leftChars="0" w:firstLine="0"/>
              <w:jc w:val="left"/>
              <w:textAlignment w:val="auto"/>
              <w:rPr>
                <w:rFonts w:hint="default" w:ascii="仿宋_GB2312" w:hAnsi="Times New Roman" w:eastAsia="仿宋_GB2312" w:cs="Times New Roman"/>
                <w:szCs w:val="24"/>
                <w:lang w:val="en-US" w:eastAsia="zh-CN" w:bidi="ar-SA"/>
              </w:rPr>
            </w:pPr>
          </w:p>
        </w:tc>
      </w:tr>
      <w:tr>
        <w:tblPrEx>
          <w:tblCellMar>
            <w:top w:w="0" w:type="dxa"/>
            <w:left w:w="10" w:type="dxa"/>
            <w:bottom w:w="0" w:type="dxa"/>
            <w:right w:w="10" w:type="dxa"/>
          </w:tblCellMar>
        </w:tblPrEx>
        <w:trPr>
          <w:trHeight w:val="857" w:hRule="exact"/>
          <w:jc w:val="center"/>
        </w:trPr>
        <w:tc>
          <w:tcPr>
            <w:tcW w:w="1447" w:type="dxa"/>
            <w:tcBorders>
              <w:top w:val="single" w:color="auto" w:sz="4" w:space="0"/>
              <w:left w:val="single" w:color="auto" w:sz="4" w:space="0"/>
            </w:tcBorders>
            <w:shd w:val="clear" w:color="auto" w:fill="FFFFFF"/>
            <w:noWrap w:val="0"/>
            <w:vAlign w:val="center"/>
          </w:tcPr>
          <w:p>
            <w:pPr>
              <w:pStyle w:val="11"/>
              <w:keepNext w:val="0"/>
              <w:keepLines w:val="0"/>
              <w:pageBreakBefore w:val="0"/>
              <w:kinsoku/>
              <w:wordWrap/>
              <w:overflowPunct/>
              <w:topLinePunct w:val="0"/>
              <w:autoSpaceDE/>
              <w:autoSpaceDN/>
              <w:bidi w:val="0"/>
              <w:adjustRightInd w:val="0"/>
              <w:snapToGrid w:val="0"/>
              <w:spacing w:line="560" w:lineRule="exact"/>
              <w:ind w:left="0" w:leftChars="0" w:firstLine="0"/>
              <w:jc w:val="center"/>
              <w:textAlignment w:val="auto"/>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产出</w:t>
            </w:r>
          </w:p>
        </w:tc>
        <w:tc>
          <w:tcPr>
            <w:tcW w:w="2045" w:type="dxa"/>
            <w:tcBorders>
              <w:top w:val="single" w:color="auto" w:sz="4" w:space="0"/>
              <w:left w:val="single" w:color="auto" w:sz="4" w:space="0"/>
            </w:tcBorders>
            <w:shd w:val="clear" w:color="auto" w:fill="FFFFFF"/>
            <w:noWrap w:val="0"/>
            <w:vAlign w:val="center"/>
          </w:tcPr>
          <w:p>
            <w:pPr>
              <w:pStyle w:val="11"/>
              <w:keepNext w:val="0"/>
              <w:keepLines w:val="0"/>
              <w:pageBreakBefore w:val="0"/>
              <w:kinsoku/>
              <w:wordWrap/>
              <w:overflowPunct/>
              <w:topLinePunct w:val="0"/>
              <w:autoSpaceDE/>
              <w:autoSpaceDN/>
              <w:bidi w:val="0"/>
              <w:adjustRightInd w:val="0"/>
              <w:snapToGrid w:val="0"/>
              <w:spacing w:line="560" w:lineRule="exact"/>
              <w:ind w:left="0" w:leftChars="0" w:firstLine="0"/>
              <w:jc w:val="center"/>
              <w:textAlignment w:val="auto"/>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30</w:t>
            </w:r>
          </w:p>
        </w:tc>
        <w:tc>
          <w:tcPr>
            <w:tcW w:w="1951" w:type="dxa"/>
            <w:tcBorders>
              <w:top w:val="single" w:color="auto" w:sz="4" w:space="0"/>
              <w:left w:val="single" w:color="auto" w:sz="4" w:space="0"/>
            </w:tcBorders>
            <w:shd w:val="clear" w:color="auto" w:fill="FFFFFF"/>
            <w:noWrap w:val="0"/>
            <w:vAlign w:val="center"/>
          </w:tcPr>
          <w:p>
            <w:pPr>
              <w:pStyle w:val="11"/>
              <w:keepNext w:val="0"/>
              <w:keepLines w:val="0"/>
              <w:pageBreakBefore w:val="0"/>
              <w:kinsoku/>
              <w:wordWrap/>
              <w:overflowPunct/>
              <w:topLinePunct w:val="0"/>
              <w:autoSpaceDE/>
              <w:autoSpaceDN/>
              <w:bidi w:val="0"/>
              <w:adjustRightInd w:val="0"/>
              <w:snapToGrid w:val="0"/>
              <w:spacing w:line="560" w:lineRule="exact"/>
              <w:ind w:left="0" w:leftChars="0" w:firstLine="0"/>
              <w:jc w:val="center"/>
              <w:textAlignment w:val="auto"/>
              <w:rPr>
                <w:rFonts w:hint="default"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30</w:t>
            </w:r>
          </w:p>
        </w:tc>
        <w:tc>
          <w:tcPr>
            <w:tcW w:w="3866" w:type="dxa"/>
            <w:tcBorders>
              <w:top w:val="single" w:color="auto" w:sz="4" w:space="0"/>
              <w:left w:val="single" w:color="auto" w:sz="4" w:space="0"/>
              <w:right w:val="single" w:color="auto" w:sz="4" w:space="0"/>
            </w:tcBorders>
            <w:shd w:val="clear" w:color="auto" w:fill="FFFFFF"/>
            <w:noWrap w:val="0"/>
            <w:vAlign w:val="center"/>
          </w:tcPr>
          <w:p>
            <w:pPr>
              <w:pStyle w:val="11"/>
              <w:keepNext w:val="0"/>
              <w:keepLines w:val="0"/>
              <w:pageBreakBefore w:val="0"/>
              <w:kinsoku/>
              <w:wordWrap/>
              <w:overflowPunct/>
              <w:topLinePunct w:val="0"/>
              <w:autoSpaceDE/>
              <w:autoSpaceDN/>
              <w:bidi w:val="0"/>
              <w:adjustRightInd w:val="0"/>
              <w:snapToGrid w:val="0"/>
              <w:spacing w:line="560" w:lineRule="exact"/>
              <w:ind w:left="0" w:leftChars="0" w:firstLine="0"/>
              <w:textAlignment w:val="auto"/>
              <w:rPr>
                <w:rFonts w:hint="default" w:ascii="仿宋_GB2312" w:hAnsi="Times New Roman" w:eastAsia="仿宋_GB2312" w:cs="Times New Roman"/>
                <w:szCs w:val="24"/>
                <w:lang w:val="en-US" w:eastAsia="zh-CN" w:bidi="ar-SA"/>
              </w:rPr>
            </w:pPr>
          </w:p>
        </w:tc>
      </w:tr>
      <w:tr>
        <w:tblPrEx>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shd w:val="clear" w:color="auto" w:fill="FFFFFF"/>
            <w:noWrap w:val="0"/>
            <w:vAlign w:val="center"/>
          </w:tcPr>
          <w:p>
            <w:pPr>
              <w:pStyle w:val="11"/>
              <w:keepNext w:val="0"/>
              <w:keepLines w:val="0"/>
              <w:pageBreakBefore w:val="0"/>
              <w:kinsoku/>
              <w:wordWrap/>
              <w:overflowPunct/>
              <w:topLinePunct w:val="0"/>
              <w:autoSpaceDE/>
              <w:autoSpaceDN/>
              <w:bidi w:val="0"/>
              <w:adjustRightInd w:val="0"/>
              <w:snapToGrid w:val="0"/>
              <w:spacing w:line="560" w:lineRule="exact"/>
              <w:ind w:left="0" w:leftChars="0" w:firstLine="0"/>
              <w:jc w:val="center"/>
              <w:textAlignment w:val="auto"/>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效益</w:t>
            </w:r>
          </w:p>
        </w:tc>
        <w:tc>
          <w:tcPr>
            <w:tcW w:w="2045" w:type="dxa"/>
            <w:tcBorders>
              <w:top w:val="single" w:color="auto" w:sz="4" w:space="0"/>
              <w:left w:val="single" w:color="auto" w:sz="4" w:space="0"/>
              <w:bottom w:val="single" w:color="auto" w:sz="4" w:space="0"/>
            </w:tcBorders>
            <w:shd w:val="clear" w:color="auto" w:fill="FFFFFF"/>
            <w:noWrap w:val="0"/>
            <w:vAlign w:val="center"/>
          </w:tcPr>
          <w:p>
            <w:pPr>
              <w:pStyle w:val="11"/>
              <w:keepNext w:val="0"/>
              <w:keepLines w:val="0"/>
              <w:pageBreakBefore w:val="0"/>
              <w:kinsoku/>
              <w:wordWrap/>
              <w:overflowPunct/>
              <w:topLinePunct w:val="0"/>
              <w:autoSpaceDE/>
              <w:autoSpaceDN/>
              <w:bidi w:val="0"/>
              <w:adjustRightInd w:val="0"/>
              <w:snapToGrid w:val="0"/>
              <w:spacing w:line="560" w:lineRule="exact"/>
              <w:ind w:left="0" w:leftChars="0" w:firstLine="0"/>
              <w:jc w:val="center"/>
              <w:textAlignment w:val="auto"/>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30</w:t>
            </w:r>
          </w:p>
        </w:tc>
        <w:tc>
          <w:tcPr>
            <w:tcW w:w="1951" w:type="dxa"/>
            <w:tcBorders>
              <w:top w:val="single" w:color="auto" w:sz="4" w:space="0"/>
              <w:left w:val="single" w:color="auto" w:sz="4" w:space="0"/>
              <w:bottom w:val="single" w:color="auto" w:sz="4" w:space="0"/>
            </w:tcBorders>
            <w:shd w:val="clear" w:color="auto" w:fill="FFFFFF"/>
            <w:noWrap w:val="0"/>
            <w:vAlign w:val="center"/>
          </w:tcPr>
          <w:p>
            <w:pPr>
              <w:pStyle w:val="11"/>
              <w:keepNext w:val="0"/>
              <w:keepLines w:val="0"/>
              <w:pageBreakBefore w:val="0"/>
              <w:kinsoku/>
              <w:wordWrap/>
              <w:overflowPunct/>
              <w:topLinePunct w:val="0"/>
              <w:autoSpaceDE/>
              <w:autoSpaceDN/>
              <w:bidi w:val="0"/>
              <w:adjustRightInd w:val="0"/>
              <w:snapToGrid w:val="0"/>
              <w:spacing w:line="560" w:lineRule="exact"/>
              <w:ind w:left="0" w:leftChars="0" w:firstLine="0"/>
              <w:jc w:val="center"/>
              <w:textAlignment w:val="auto"/>
              <w:rPr>
                <w:rFonts w:hint="default"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30</w:t>
            </w:r>
          </w:p>
        </w:tc>
        <w:tc>
          <w:tcPr>
            <w:tcW w:w="3866"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keepNext w:val="0"/>
              <w:keepLines w:val="0"/>
              <w:pageBreakBefore w:val="0"/>
              <w:kinsoku/>
              <w:wordWrap/>
              <w:overflowPunct/>
              <w:topLinePunct w:val="0"/>
              <w:autoSpaceDE/>
              <w:autoSpaceDN/>
              <w:bidi w:val="0"/>
              <w:adjustRightInd w:val="0"/>
              <w:snapToGrid w:val="0"/>
              <w:spacing w:line="560" w:lineRule="exact"/>
              <w:ind w:left="0" w:leftChars="0"/>
              <w:textAlignment w:val="auto"/>
              <w:rPr>
                <w:rFonts w:hint="eastAsia" w:ascii="仿宋_GB2312" w:hAnsi="Times New Roman" w:eastAsia="仿宋_GB2312"/>
                <w:sz w:val="30"/>
                <w:szCs w:val="24"/>
              </w:rPr>
            </w:pPr>
          </w:p>
        </w:tc>
      </w:tr>
      <w:tr>
        <w:tblPrEx>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shd w:val="clear" w:color="auto" w:fill="FFFFFF"/>
            <w:noWrap w:val="0"/>
            <w:vAlign w:val="center"/>
          </w:tcPr>
          <w:p>
            <w:pPr>
              <w:pStyle w:val="11"/>
              <w:keepNext w:val="0"/>
              <w:keepLines w:val="0"/>
              <w:pageBreakBefore w:val="0"/>
              <w:kinsoku/>
              <w:wordWrap/>
              <w:overflowPunct/>
              <w:topLinePunct w:val="0"/>
              <w:autoSpaceDE/>
              <w:autoSpaceDN/>
              <w:bidi w:val="0"/>
              <w:adjustRightInd w:val="0"/>
              <w:snapToGrid w:val="0"/>
              <w:spacing w:line="560" w:lineRule="exact"/>
              <w:ind w:left="0" w:leftChars="0" w:firstLine="0"/>
              <w:jc w:val="center"/>
              <w:textAlignment w:val="auto"/>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合计</w:t>
            </w:r>
          </w:p>
        </w:tc>
        <w:tc>
          <w:tcPr>
            <w:tcW w:w="2045" w:type="dxa"/>
            <w:tcBorders>
              <w:top w:val="single" w:color="auto" w:sz="4" w:space="0"/>
              <w:left w:val="single" w:color="auto" w:sz="4" w:space="0"/>
              <w:bottom w:val="single" w:color="auto" w:sz="4" w:space="0"/>
            </w:tcBorders>
            <w:shd w:val="clear" w:color="auto" w:fill="FFFFFF"/>
            <w:noWrap w:val="0"/>
            <w:vAlign w:val="center"/>
          </w:tcPr>
          <w:p>
            <w:pPr>
              <w:pStyle w:val="11"/>
              <w:keepNext w:val="0"/>
              <w:keepLines w:val="0"/>
              <w:pageBreakBefore w:val="0"/>
              <w:kinsoku/>
              <w:wordWrap/>
              <w:overflowPunct/>
              <w:topLinePunct w:val="0"/>
              <w:autoSpaceDE/>
              <w:autoSpaceDN/>
              <w:bidi w:val="0"/>
              <w:adjustRightInd w:val="0"/>
              <w:snapToGrid w:val="0"/>
              <w:spacing w:line="560" w:lineRule="exact"/>
              <w:ind w:left="0" w:leftChars="0" w:firstLine="0"/>
              <w:jc w:val="center"/>
              <w:textAlignment w:val="auto"/>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100</w:t>
            </w:r>
          </w:p>
        </w:tc>
        <w:tc>
          <w:tcPr>
            <w:tcW w:w="1951" w:type="dxa"/>
            <w:tcBorders>
              <w:top w:val="single" w:color="auto" w:sz="4" w:space="0"/>
              <w:left w:val="single" w:color="auto" w:sz="4" w:space="0"/>
              <w:bottom w:val="single" w:color="auto" w:sz="4" w:space="0"/>
            </w:tcBorders>
            <w:shd w:val="clear" w:color="auto" w:fill="FFFFFF"/>
            <w:noWrap w:val="0"/>
            <w:vAlign w:val="center"/>
          </w:tcPr>
          <w:p>
            <w:pPr>
              <w:pStyle w:val="11"/>
              <w:keepNext w:val="0"/>
              <w:keepLines w:val="0"/>
              <w:pageBreakBefore w:val="0"/>
              <w:kinsoku/>
              <w:wordWrap/>
              <w:overflowPunct/>
              <w:topLinePunct w:val="0"/>
              <w:autoSpaceDE/>
              <w:autoSpaceDN/>
              <w:bidi w:val="0"/>
              <w:adjustRightInd w:val="0"/>
              <w:snapToGrid w:val="0"/>
              <w:spacing w:line="560" w:lineRule="exact"/>
              <w:ind w:left="0" w:leftChars="0" w:firstLine="0"/>
              <w:jc w:val="center"/>
              <w:textAlignment w:val="auto"/>
              <w:rPr>
                <w:rFonts w:hint="default"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100</w:t>
            </w:r>
          </w:p>
        </w:tc>
        <w:tc>
          <w:tcPr>
            <w:tcW w:w="3866"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keepNext w:val="0"/>
              <w:keepLines w:val="0"/>
              <w:pageBreakBefore w:val="0"/>
              <w:kinsoku/>
              <w:wordWrap/>
              <w:overflowPunct/>
              <w:topLinePunct w:val="0"/>
              <w:autoSpaceDE/>
              <w:autoSpaceDN/>
              <w:bidi w:val="0"/>
              <w:adjustRightInd w:val="0"/>
              <w:snapToGrid w:val="0"/>
              <w:spacing w:line="560" w:lineRule="exact"/>
              <w:ind w:left="0" w:leftChars="0"/>
              <w:textAlignment w:val="auto"/>
              <w:rPr>
                <w:rFonts w:hint="eastAsia" w:ascii="仿宋_GB2312" w:hAnsi="Times New Roman" w:eastAsia="仿宋_GB2312"/>
                <w:sz w:val="30"/>
                <w:szCs w:val="24"/>
              </w:rPr>
            </w:pPr>
          </w:p>
        </w:tc>
      </w:tr>
    </w:tbl>
    <w:p>
      <w:pPr>
        <w:pStyle w:val="9"/>
        <w:keepNext w:val="0"/>
        <w:keepLines w:val="0"/>
        <w:pageBreakBefore w:val="0"/>
        <w:shd w:val="clear" w:color="auto" w:fill="auto"/>
        <w:kinsoku/>
        <w:wordWrap/>
        <w:overflowPunct/>
        <w:topLinePunct w:val="0"/>
        <w:autoSpaceDE/>
        <w:autoSpaceDN/>
        <w:bidi w:val="0"/>
        <w:adjustRightInd w:val="0"/>
        <w:snapToGrid w:val="0"/>
        <w:spacing w:line="560" w:lineRule="exact"/>
        <w:ind w:left="0" w:leftChars="0" w:firstLine="602" w:firstLineChars="200"/>
        <w:textAlignment w:val="auto"/>
        <w:rPr>
          <w:rFonts w:hint="eastAsia" w:ascii="仿宋_GB2312" w:hAnsi="Times New Roman" w:eastAsia="仿宋_GB2312" w:cs="Times New Roman"/>
          <w:b/>
          <w:szCs w:val="24"/>
          <w:highlight w:val="none"/>
          <w:lang w:val="en-US" w:eastAsia="zh-CN" w:bidi="ar-SA"/>
        </w:rPr>
      </w:pPr>
      <w:r>
        <w:rPr>
          <w:rFonts w:hint="eastAsia" w:ascii="仿宋_GB2312" w:hAnsi="Times New Roman" w:eastAsia="仿宋_GB2312" w:cs="Times New Roman"/>
          <w:b/>
          <w:szCs w:val="24"/>
          <w:highlight w:val="none"/>
          <w:lang w:val="en-US" w:eastAsia="zh-CN" w:bidi="ar-SA"/>
        </w:rPr>
        <w:t>（二）评价结论</w:t>
      </w:r>
    </w:p>
    <w:p>
      <w:pPr>
        <w:pStyle w:val="9"/>
        <w:keepNext w:val="0"/>
        <w:keepLines w:val="0"/>
        <w:pageBreakBefore w:val="0"/>
        <w:kinsoku/>
        <w:wordWrap/>
        <w:overflowPunct/>
        <w:topLinePunct w:val="0"/>
        <w:autoSpaceDE/>
        <w:autoSpaceDN/>
        <w:bidi w:val="0"/>
        <w:adjustRightInd w:val="0"/>
        <w:snapToGrid w:val="0"/>
        <w:spacing w:line="560" w:lineRule="exact"/>
        <w:ind w:left="0" w:leftChars="0" w:firstLine="700"/>
        <w:textAlignment w:val="auto"/>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kern w:val="2"/>
          <w:sz w:val="30"/>
          <w:szCs w:val="24"/>
          <w:lang w:val="en-US" w:eastAsia="zh-CN" w:bidi="ar-SA"/>
        </w:rPr>
        <w:t>乌尔禾区审计局的投资审计专项经费达到了年初设立的绩效目标，在实施过程中取得了良好的成效。</w:t>
      </w:r>
      <w:r>
        <w:rPr>
          <w:rFonts w:hint="eastAsia" w:ascii="仿宋_GB2312" w:hAnsi="Times New Roman" w:eastAsia="仿宋_GB2312" w:cs="Times New Roman"/>
          <w:szCs w:val="24"/>
          <w:lang w:val="en-US" w:eastAsia="zh-CN" w:bidi="ar-SA"/>
        </w:rPr>
        <w:t>具体表现在以下几点：</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outlineLvl w:val="0"/>
        <w:rPr>
          <w:rFonts w:hint="default" w:ascii="仿宋_GB2312" w:hAnsi="Times New Roman" w:eastAsia="仿宋_GB2312" w:cs="Times New Roman"/>
          <w:sz w:val="30"/>
          <w:szCs w:val="24"/>
          <w:highlight w:val="none"/>
          <w:lang w:val="en-US" w:eastAsia="zh-CN"/>
        </w:rPr>
      </w:pPr>
      <w:r>
        <w:rPr>
          <w:rFonts w:hint="eastAsia" w:ascii="仿宋_GB2312" w:hAnsi="Times New Roman" w:eastAsia="仿宋_GB2312" w:cs="Times New Roman"/>
          <w:sz w:val="30"/>
          <w:szCs w:val="24"/>
          <w:highlight w:val="none"/>
          <w:lang w:val="en-US" w:eastAsia="zh-CN"/>
        </w:rPr>
        <w:t>一是乌尔禾区审计局及时、规范的</w:t>
      </w:r>
      <w:r>
        <w:rPr>
          <w:rFonts w:hint="eastAsia" w:ascii="仿宋_GB2312" w:hAnsi="Times New Roman" w:eastAsia="仿宋_GB2312" w:cs="Times New Roman"/>
          <w:sz w:val="30"/>
          <w:szCs w:val="24"/>
          <w:highlight w:val="none"/>
        </w:rPr>
        <w:t>通过审核</w:t>
      </w:r>
      <w:r>
        <w:rPr>
          <w:rFonts w:hint="eastAsia" w:ascii="仿宋_GB2312" w:cs="Times New Roman"/>
          <w:sz w:val="30"/>
          <w:szCs w:val="24"/>
          <w:highlight w:val="none"/>
          <w:lang w:eastAsia="zh-CN"/>
        </w:rPr>
        <w:t>工程项目的各种资料</w:t>
      </w:r>
      <w:r>
        <w:rPr>
          <w:rFonts w:hint="eastAsia" w:ascii="仿宋_GB2312" w:hAnsi="Times New Roman" w:eastAsia="仿宋_GB2312" w:cs="Times New Roman"/>
          <w:sz w:val="30"/>
          <w:szCs w:val="24"/>
          <w:highlight w:val="none"/>
        </w:rPr>
        <w:t>，从而有效地控制工程造价、规范工程造价管理。核减财政性投资项目资金，节约政府资金</w:t>
      </w:r>
      <w:r>
        <w:rPr>
          <w:rFonts w:hint="eastAsia" w:ascii="仿宋_GB2312" w:hAnsi="Times New Roman" w:eastAsia="仿宋_GB2312" w:cs="Times New Roman"/>
          <w:sz w:val="30"/>
          <w:szCs w:val="24"/>
          <w:highlight w:val="none"/>
          <w:lang w:eastAsia="zh-CN"/>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outlineLvl w:val="0"/>
        <w:rPr>
          <w:rFonts w:hint="eastAsia" w:ascii="仿宋_GB2312" w:hAnsi="Times New Roman" w:eastAsia="仿宋_GB2312" w:cs="Times New Roman"/>
          <w:sz w:val="30"/>
          <w:szCs w:val="24"/>
          <w:highlight w:val="none"/>
          <w:lang w:val="en-US" w:eastAsia="zh-CN"/>
        </w:rPr>
      </w:pPr>
      <w:r>
        <w:rPr>
          <w:rFonts w:hint="eastAsia" w:ascii="仿宋_GB2312" w:hAnsi="Times New Roman" w:eastAsia="仿宋_GB2312" w:cs="Times New Roman"/>
          <w:sz w:val="30"/>
          <w:szCs w:val="24"/>
          <w:highlight w:val="none"/>
          <w:lang w:val="en-US" w:eastAsia="zh-CN"/>
        </w:rPr>
        <w:t>二是对2020年</w:t>
      </w:r>
      <w:r>
        <w:rPr>
          <w:rFonts w:hint="eastAsia" w:ascii="仿宋_GB2312" w:hAnsi="Times New Roman" w:eastAsia="仿宋_GB2312" w:cs="Times New Roman"/>
          <w:kern w:val="2"/>
          <w:sz w:val="30"/>
          <w:szCs w:val="24"/>
          <w:lang w:val="en-US" w:eastAsia="zh-CN" w:bidi="ar-SA"/>
        </w:rPr>
        <w:t>投资审计专项经费</w:t>
      </w:r>
      <w:r>
        <w:rPr>
          <w:rFonts w:hint="eastAsia" w:ascii="仿宋_GB2312" w:cs="Times New Roman"/>
          <w:kern w:val="2"/>
          <w:sz w:val="30"/>
          <w:szCs w:val="24"/>
          <w:lang w:val="en-US" w:eastAsia="zh-CN" w:bidi="ar-SA"/>
        </w:rPr>
        <w:t>项目</w:t>
      </w:r>
      <w:r>
        <w:rPr>
          <w:rFonts w:hint="eastAsia" w:ascii="仿宋_GB2312" w:hAnsi="Times New Roman" w:eastAsia="仿宋_GB2312" w:cs="Times New Roman"/>
          <w:sz w:val="30"/>
          <w:szCs w:val="24"/>
          <w:highlight w:val="none"/>
          <w:lang w:val="en-US" w:eastAsia="zh-CN"/>
        </w:rPr>
        <w:t>进行验收，由专家组进行评审，各项目验收得分保持在90-100分之间,所有项目均通过验收。</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rPr>
          <w:rFonts w:hint="eastAsia" w:ascii="黑体" w:hAnsi="黑体" w:eastAsia="黑体" w:cs="Times New Roman"/>
          <w:sz w:val="30"/>
          <w:szCs w:val="24"/>
          <w:highlight w:val="none"/>
        </w:rPr>
      </w:pPr>
      <w:r>
        <w:rPr>
          <w:rFonts w:hint="eastAsia" w:ascii="黑体" w:hAnsi="黑体" w:eastAsia="黑体" w:cs="Times New Roman"/>
          <w:sz w:val="30"/>
          <w:szCs w:val="24"/>
          <w:highlight w:val="none"/>
        </w:rPr>
        <w:t>四、绩效评价指标分析</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outlineLvl w:val="0"/>
        <w:rPr>
          <w:rFonts w:hint="eastAsia" w:ascii="仿宋_GB2312" w:hAnsi="Times New Roman" w:eastAsia="仿宋_GB2312" w:cs="Times New Roman"/>
          <w:sz w:val="30"/>
          <w:szCs w:val="24"/>
          <w:highlight w:val="none"/>
        </w:rPr>
      </w:pPr>
      <w:r>
        <w:rPr>
          <w:rFonts w:hint="eastAsia" w:ascii="仿宋_GB2312" w:hAnsi="Times New Roman" w:eastAsia="仿宋_GB2312" w:cs="Times New Roman"/>
          <w:sz w:val="30"/>
          <w:szCs w:val="24"/>
          <w:highlight w:val="none"/>
        </w:rPr>
        <w:t>（一）项目决策情况</w:t>
      </w:r>
    </w:p>
    <w:p>
      <w:pPr>
        <w:pStyle w:val="9"/>
        <w:keepNext w:val="0"/>
        <w:keepLines w:val="0"/>
        <w:pageBreakBefore w:val="0"/>
        <w:tabs>
          <w:tab w:val="left" w:pos="1527"/>
        </w:tabs>
        <w:kinsoku/>
        <w:wordWrap/>
        <w:overflowPunct/>
        <w:topLinePunct w:val="0"/>
        <w:autoSpaceDE/>
        <w:autoSpaceDN/>
        <w:bidi w:val="0"/>
        <w:adjustRightInd w:val="0"/>
        <w:snapToGrid w:val="0"/>
        <w:spacing w:line="560" w:lineRule="exact"/>
        <w:ind w:left="0" w:leftChars="0" w:firstLine="600" w:firstLineChars="200"/>
        <w:textAlignment w:val="auto"/>
        <w:rPr>
          <w:rStyle w:val="7"/>
          <w:rFonts w:hint="eastAsia" w:ascii="仿宋" w:hAnsi="仿宋" w:eastAsia="仿宋_GB2312" w:cs="仿宋_GB2312"/>
          <w:b w:val="0"/>
          <w:spacing w:val="-4"/>
          <w:sz w:val="32"/>
          <w:szCs w:val="32"/>
          <w:highlight w:val="yellow"/>
          <w:lang w:eastAsia="zh-CN"/>
        </w:rPr>
      </w:pPr>
      <w:r>
        <w:rPr>
          <w:rFonts w:hint="eastAsia" w:ascii="仿宋_GB2312" w:hAnsi="Times New Roman" w:eastAsia="仿宋_GB2312" w:cs="Times New Roman"/>
          <w:sz w:val="30"/>
          <w:szCs w:val="24"/>
          <w:lang w:eastAsia="zh-CN"/>
        </w:rPr>
        <w:t>1、</w:t>
      </w:r>
      <w:r>
        <w:rPr>
          <w:rFonts w:hint="eastAsia" w:ascii="仿宋_GB2312" w:hAnsi="Times New Roman" w:eastAsia="仿宋_GB2312" w:cs="Times New Roman"/>
          <w:sz w:val="30"/>
          <w:szCs w:val="24"/>
        </w:rPr>
        <w:t>立项依据充分性：</w:t>
      </w:r>
      <w:r>
        <w:rPr>
          <w:rFonts w:hint="eastAsia" w:ascii="仿宋_GB2312" w:hAnsi="Times New Roman" w:eastAsia="仿宋_GB2312" w:cs="Times New Roman"/>
          <w:szCs w:val="24"/>
          <w:lang w:val="en-US" w:eastAsia="zh-CN" w:bidi="ar-SA"/>
        </w:rPr>
        <w:t>项目立项符合关于</w:t>
      </w:r>
      <w:r>
        <w:rPr>
          <w:rFonts w:hint="eastAsia" w:ascii="仿宋_GB2312" w:hAnsi="Times New Roman" w:eastAsia="仿宋_GB2312" w:cs="Times New Roman"/>
          <w:sz w:val="30"/>
          <w:szCs w:val="24"/>
        </w:rPr>
        <w:t>核减财政性投资项目资金，节约政府资金，提高政府性投资资金的审计效率，降低审计风险</w:t>
      </w:r>
      <w:r>
        <w:rPr>
          <w:rFonts w:hint="eastAsia" w:ascii="仿宋_GB2312" w:hAnsi="Times New Roman" w:eastAsia="仿宋_GB2312" w:cs="Times New Roman"/>
          <w:sz w:val="30"/>
          <w:szCs w:val="24"/>
          <w:lang w:eastAsia="zh-CN"/>
        </w:rPr>
        <w:t>。</w:t>
      </w:r>
    </w:p>
    <w:p>
      <w:pPr>
        <w:pStyle w:val="9"/>
        <w:keepNext w:val="0"/>
        <w:keepLines w:val="0"/>
        <w:pageBreakBefore w:val="0"/>
        <w:shd w:val="clear" w:color="auto" w:fill="auto"/>
        <w:tabs>
          <w:tab w:val="left" w:pos="1527"/>
        </w:tabs>
        <w:kinsoku/>
        <w:wordWrap/>
        <w:overflowPunct/>
        <w:topLinePunct w:val="0"/>
        <w:autoSpaceDE/>
        <w:autoSpaceDN/>
        <w:bidi w:val="0"/>
        <w:adjustRightInd w:val="0"/>
        <w:snapToGrid w:val="0"/>
        <w:spacing w:line="560" w:lineRule="exact"/>
        <w:ind w:left="0" w:leftChars="0" w:firstLine="600" w:firstLineChars="200"/>
        <w:textAlignment w:val="auto"/>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2、立项程序规范性：项目申请、设立过程符合相关要求；</w:t>
      </w:r>
    </w:p>
    <w:p>
      <w:pPr>
        <w:pStyle w:val="9"/>
        <w:keepNext w:val="0"/>
        <w:keepLines w:val="0"/>
        <w:pageBreakBefore w:val="0"/>
        <w:shd w:val="clear" w:color="auto" w:fill="auto"/>
        <w:tabs>
          <w:tab w:val="left" w:pos="1527"/>
        </w:tabs>
        <w:kinsoku/>
        <w:wordWrap/>
        <w:overflowPunct/>
        <w:topLinePunct w:val="0"/>
        <w:autoSpaceDE/>
        <w:autoSpaceDN/>
        <w:bidi w:val="0"/>
        <w:adjustRightInd w:val="0"/>
        <w:snapToGrid w:val="0"/>
        <w:spacing w:line="560" w:lineRule="exact"/>
        <w:ind w:left="0" w:leftChars="0" w:firstLine="600" w:firstLineChars="200"/>
        <w:textAlignment w:val="auto"/>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3、绩效目标合理性：项目所设定的绩效目标依据充分，符合客观实际；</w:t>
      </w:r>
    </w:p>
    <w:p>
      <w:pPr>
        <w:pStyle w:val="9"/>
        <w:keepNext w:val="0"/>
        <w:keepLines w:val="0"/>
        <w:pageBreakBefore w:val="0"/>
        <w:shd w:val="clear" w:color="auto" w:fill="auto"/>
        <w:tabs>
          <w:tab w:val="left" w:pos="1527"/>
        </w:tabs>
        <w:kinsoku/>
        <w:wordWrap/>
        <w:overflowPunct/>
        <w:topLinePunct w:val="0"/>
        <w:autoSpaceDE/>
        <w:autoSpaceDN/>
        <w:bidi w:val="0"/>
        <w:adjustRightInd w:val="0"/>
        <w:snapToGrid w:val="0"/>
        <w:spacing w:line="560" w:lineRule="exact"/>
        <w:ind w:left="0" w:leftChars="0" w:firstLine="600" w:firstLineChars="200"/>
        <w:textAlignment w:val="auto"/>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4、绩效指标明确性：绩效指标清晰、细化、可衡量；</w:t>
      </w:r>
    </w:p>
    <w:p>
      <w:pPr>
        <w:pStyle w:val="9"/>
        <w:keepNext w:val="0"/>
        <w:keepLines w:val="0"/>
        <w:pageBreakBefore w:val="0"/>
        <w:shd w:val="clear" w:color="auto" w:fill="auto"/>
        <w:tabs>
          <w:tab w:val="left" w:pos="1527"/>
        </w:tabs>
        <w:kinsoku/>
        <w:wordWrap/>
        <w:overflowPunct/>
        <w:topLinePunct w:val="0"/>
        <w:autoSpaceDE/>
        <w:autoSpaceDN/>
        <w:bidi w:val="0"/>
        <w:adjustRightInd w:val="0"/>
        <w:snapToGrid w:val="0"/>
        <w:spacing w:line="560" w:lineRule="exact"/>
        <w:ind w:left="0" w:leftChars="0" w:firstLine="600" w:firstLineChars="200"/>
        <w:textAlignment w:val="auto"/>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5、预算编制科学性：项目预算编制经过科学论证、有明确标准，资金额度与年度目标相适应；</w:t>
      </w:r>
    </w:p>
    <w:p>
      <w:pPr>
        <w:pStyle w:val="9"/>
        <w:keepNext w:val="0"/>
        <w:keepLines w:val="0"/>
        <w:pageBreakBefore w:val="0"/>
        <w:shd w:val="clear" w:color="auto" w:fill="auto"/>
        <w:tabs>
          <w:tab w:val="left" w:pos="1527"/>
        </w:tabs>
        <w:kinsoku/>
        <w:wordWrap/>
        <w:overflowPunct/>
        <w:topLinePunct w:val="0"/>
        <w:autoSpaceDE/>
        <w:autoSpaceDN/>
        <w:bidi w:val="0"/>
        <w:adjustRightInd w:val="0"/>
        <w:snapToGrid w:val="0"/>
        <w:spacing w:line="560" w:lineRule="exact"/>
        <w:ind w:left="0" w:leftChars="0" w:firstLine="600" w:firstLineChars="200"/>
        <w:textAlignment w:val="auto"/>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6.资金分配合理性：项目预算资金分配有测算依据。</w:t>
      </w:r>
    </w:p>
    <w:p>
      <w:pPr>
        <w:pStyle w:val="9"/>
        <w:keepNext w:val="0"/>
        <w:keepLines w:val="0"/>
        <w:pageBreakBefore w:val="0"/>
        <w:shd w:val="clear" w:color="auto" w:fill="auto"/>
        <w:tabs>
          <w:tab w:val="left" w:pos="1527"/>
        </w:tabs>
        <w:kinsoku/>
        <w:wordWrap/>
        <w:overflowPunct/>
        <w:topLinePunct w:val="0"/>
        <w:autoSpaceDE/>
        <w:autoSpaceDN/>
        <w:bidi w:val="0"/>
        <w:adjustRightInd w:val="0"/>
        <w:snapToGrid w:val="0"/>
        <w:spacing w:line="560" w:lineRule="exact"/>
        <w:ind w:left="0" w:leftChars="0" w:firstLine="600" w:firstLineChars="200"/>
        <w:textAlignment w:val="auto"/>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本次评价认为；该项目符合项目立项，项目绩效目标设置、资金投入等方面相关规定。</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outlineLvl w:val="0"/>
        <w:rPr>
          <w:rFonts w:hint="eastAsia" w:ascii="仿宋_GB2312" w:hAnsi="Times New Roman" w:eastAsia="仿宋_GB2312" w:cs="Times New Roman"/>
          <w:sz w:val="30"/>
          <w:szCs w:val="24"/>
        </w:rPr>
      </w:pPr>
      <w:r>
        <w:rPr>
          <w:rFonts w:hint="eastAsia" w:ascii="仿宋_GB2312" w:hAnsi="Times New Roman" w:cs="Times New Roman"/>
          <w:sz w:val="30"/>
          <w:szCs w:val="24"/>
          <w:lang w:eastAsia="zh-CN"/>
        </w:rPr>
        <w:t>（二）</w:t>
      </w:r>
      <w:r>
        <w:rPr>
          <w:rFonts w:hint="eastAsia" w:ascii="仿宋_GB2312" w:hAnsi="Times New Roman" w:eastAsia="仿宋_GB2312" w:cs="Times New Roman"/>
          <w:sz w:val="30"/>
          <w:szCs w:val="24"/>
        </w:rPr>
        <w:t>项目过程情况</w:t>
      </w:r>
    </w:p>
    <w:p>
      <w:pPr>
        <w:pStyle w:val="9"/>
        <w:keepNext w:val="0"/>
        <w:keepLines w:val="0"/>
        <w:pageBreakBefore w:val="0"/>
        <w:shd w:val="clear" w:color="auto" w:fill="auto"/>
        <w:tabs>
          <w:tab w:val="left" w:pos="1152"/>
        </w:tabs>
        <w:kinsoku/>
        <w:wordWrap/>
        <w:overflowPunct/>
        <w:topLinePunct w:val="0"/>
        <w:autoSpaceDE/>
        <w:autoSpaceDN/>
        <w:bidi w:val="0"/>
        <w:adjustRightInd w:val="0"/>
        <w:snapToGrid w:val="0"/>
        <w:spacing w:line="560" w:lineRule="exact"/>
        <w:ind w:left="0" w:leftChars="0" w:firstLine="680"/>
        <w:textAlignment w:val="auto"/>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1、资金到位及预算执行情况分析</w:t>
      </w:r>
    </w:p>
    <w:p>
      <w:pPr>
        <w:pStyle w:val="9"/>
        <w:keepNext w:val="0"/>
        <w:keepLines w:val="0"/>
        <w:pageBreakBefore w:val="0"/>
        <w:shd w:val="clear" w:color="auto" w:fill="auto"/>
        <w:tabs>
          <w:tab w:val="left" w:pos="1152"/>
        </w:tabs>
        <w:kinsoku/>
        <w:wordWrap/>
        <w:overflowPunct/>
        <w:topLinePunct w:val="0"/>
        <w:autoSpaceDE/>
        <w:autoSpaceDN/>
        <w:bidi w:val="0"/>
        <w:adjustRightInd w:val="0"/>
        <w:snapToGrid w:val="0"/>
        <w:spacing w:line="560" w:lineRule="exact"/>
        <w:ind w:left="0" w:leftChars="0" w:firstLine="680"/>
        <w:textAlignment w:val="auto"/>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项目资金预算数68.63万元，到位数68.63万元，资金到位率100%；预算执行数68.63万元，预算执行率100%。</w:t>
      </w:r>
    </w:p>
    <w:p>
      <w:pPr>
        <w:pStyle w:val="9"/>
        <w:keepNext w:val="0"/>
        <w:keepLines w:val="0"/>
        <w:pageBreakBefore w:val="0"/>
        <w:shd w:val="clear" w:color="auto" w:fill="auto"/>
        <w:tabs>
          <w:tab w:val="left" w:pos="1152"/>
        </w:tabs>
        <w:kinsoku/>
        <w:wordWrap/>
        <w:overflowPunct/>
        <w:topLinePunct w:val="0"/>
        <w:autoSpaceDE/>
        <w:autoSpaceDN/>
        <w:bidi w:val="0"/>
        <w:adjustRightInd w:val="0"/>
        <w:snapToGrid w:val="0"/>
        <w:spacing w:line="560" w:lineRule="exact"/>
        <w:ind w:left="0" w:leftChars="0" w:firstLine="680"/>
        <w:textAlignment w:val="auto"/>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2、项目组织情况分析</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outlineLvl w:val="0"/>
        <w:rPr>
          <w:rFonts w:hint="eastAsia" w:ascii="仿宋_GB2312" w:hAnsi="Times New Roman" w:eastAsia="仿宋_GB2312" w:cs="Times New Roman"/>
          <w:sz w:val="30"/>
          <w:szCs w:val="24"/>
          <w:lang w:val="zh-TW" w:eastAsia="zh-TW"/>
        </w:rPr>
      </w:pPr>
      <w:r>
        <w:rPr>
          <w:rFonts w:hint="eastAsia" w:ascii="仿宋_GB2312" w:hAnsi="Times New Roman" w:eastAsia="仿宋_GB2312" w:cs="Times New Roman"/>
          <w:sz w:val="30"/>
          <w:szCs w:val="24"/>
          <w:lang w:val="zh-TW" w:eastAsia="zh-TW"/>
        </w:rPr>
        <w:t>该项目在实施阶段各个立项项目均经过项目申报、项目评审、项目立项、资金拨付、项目验收等流程。其中项目申报环节以文件的形式下发申报指南，明确资金支付范围和重点、支持条件、组织方式和申报要求。项目评审环节严格执行相关考评办法，通过制定专家评审手册等文件，明确评审及现场考察工作程序及要求。项目立项环节由区审计工作指导委员会审议通过。项目后期管理环节包括监督、检查项目的执行情况，组织或委托第三方机构进行重点项目的监理或检查；协调解决项目执行中的重大问题，保障项目按进度正常进行；组织项目验收等。</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outlineLvl w:val="0"/>
        <w:rPr>
          <w:rFonts w:hint="eastAsia" w:ascii="仿宋_GB2312" w:hAnsi="Times New Roman" w:eastAsia="仿宋_GB2312" w:cs="Times New Roman"/>
          <w:sz w:val="30"/>
          <w:szCs w:val="24"/>
          <w:highlight w:val="none"/>
          <w:lang w:val="zh-TW" w:eastAsia="zh-TW"/>
        </w:rPr>
      </w:pPr>
      <w:r>
        <w:rPr>
          <w:rFonts w:hint="eastAsia" w:ascii="仿宋_GB2312" w:hAnsi="Times New Roman" w:eastAsia="仿宋_GB2312" w:cs="Times New Roman"/>
          <w:sz w:val="30"/>
          <w:szCs w:val="24"/>
          <w:highlight w:val="none"/>
          <w:lang w:val="zh-TW" w:eastAsia="zh-TW"/>
        </w:rPr>
        <w:t>本次评价认为：该项目组织机构设置合理，项目均按照流程执行，中期有检查，后期有验收。</w:t>
      </w:r>
    </w:p>
    <w:p>
      <w:pPr>
        <w:pStyle w:val="9"/>
        <w:keepNext w:val="0"/>
        <w:keepLines w:val="0"/>
        <w:pageBreakBefore w:val="0"/>
        <w:shd w:val="clear" w:color="auto" w:fill="auto"/>
        <w:kinsoku/>
        <w:wordWrap/>
        <w:overflowPunct/>
        <w:topLinePunct w:val="0"/>
        <w:autoSpaceDE/>
        <w:autoSpaceDN/>
        <w:bidi w:val="0"/>
        <w:adjustRightInd w:val="0"/>
        <w:snapToGrid w:val="0"/>
        <w:spacing w:line="560" w:lineRule="exact"/>
        <w:ind w:left="0" w:leftChars="0" w:firstLine="660"/>
        <w:textAlignment w:val="auto"/>
        <w:rPr>
          <w:rFonts w:hint="eastAsia" w:ascii="仿宋_GB2312" w:hAnsi="Times New Roman" w:eastAsia="仿宋_GB2312" w:cs="Times New Roman"/>
          <w:szCs w:val="24"/>
          <w:highlight w:val="none"/>
          <w:lang w:val="en-US" w:eastAsia="zh-CN" w:bidi="ar-SA"/>
        </w:rPr>
      </w:pPr>
      <w:r>
        <w:rPr>
          <w:rFonts w:hint="eastAsia" w:ascii="仿宋_GB2312" w:hAnsi="Times New Roman" w:eastAsia="仿宋_GB2312" w:cs="Times New Roman"/>
          <w:szCs w:val="24"/>
          <w:highlight w:val="none"/>
          <w:lang w:val="en-US" w:eastAsia="zh-CN" w:bidi="ar-SA"/>
        </w:rPr>
        <w:t>3、项目管理情况分析</w:t>
      </w:r>
    </w:p>
    <w:p>
      <w:pPr>
        <w:pStyle w:val="9"/>
        <w:keepNext w:val="0"/>
        <w:keepLines w:val="0"/>
        <w:pageBreakBefore w:val="0"/>
        <w:shd w:val="clear" w:color="auto" w:fill="auto"/>
        <w:kinsoku/>
        <w:wordWrap/>
        <w:overflowPunct/>
        <w:topLinePunct w:val="0"/>
        <w:autoSpaceDE/>
        <w:autoSpaceDN/>
        <w:bidi w:val="0"/>
        <w:adjustRightInd w:val="0"/>
        <w:snapToGrid w:val="0"/>
        <w:spacing w:line="560" w:lineRule="exact"/>
        <w:ind w:left="0" w:leftChars="0" w:firstLine="660"/>
        <w:textAlignment w:val="auto"/>
        <w:rPr>
          <w:rFonts w:ascii="仿宋_GB2312" w:hAnsi="Times New Roman" w:eastAsia="仿宋_GB2312" w:cs="Times New Roman"/>
          <w:szCs w:val="24"/>
          <w:lang w:val="en-US" w:eastAsia="zh-CN" w:bidi="ar-SA"/>
        </w:rPr>
      </w:pPr>
      <w:r>
        <w:rPr>
          <w:rFonts w:ascii="仿宋_GB2312" w:hAnsi="Times New Roman" w:eastAsia="仿宋_GB2312" w:cs="Times New Roman"/>
          <w:szCs w:val="24"/>
          <w:lang w:val="en-US" w:eastAsia="zh-CN" w:bidi="ar-SA"/>
        </w:rPr>
        <w:t>该项目制定了较为全面的管理制度，</w:t>
      </w:r>
      <w:r>
        <w:rPr>
          <w:rFonts w:hint="eastAsia" w:ascii="仿宋_GB2312" w:hAnsi="Times New Roman" w:eastAsia="仿宋_GB2312" w:cs="Times New Roman"/>
          <w:szCs w:val="24"/>
          <w:lang w:val="en-US" w:eastAsia="zh-CN" w:bidi="ar-SA"/>
        </w:rPr>
        <w:t>投资审计专项经费</w:t>
      </w:r>
      <w:r>
        <w:rPr>
          <w:rFonts w:ascii="仿宋_GB2312" w:hAnsi="Times New Roman" w:eastAsia="仿宋_GB2312" w:cs="Times New Roman"/>
          <w:szCs w:val="24"/>
          <w:lang w:val="en-US" w:eastAsia="zh-CN" w:bidi="ar-SA"/>
        </w:rPr>
        <w:t>主要管理制度为</w:t>
      </w:r>
      <w:r>
        <w:rPr>
          <w:rFonts w:hint="eastAsia" w:ascii="仿宋_GB2312" w:hAnsi="Times New Roman" w:eastAsia="仿宋_GB2312" w:cs="Times New Roman"/>
          <w:szCs w:val="24"/>
          <w:lang w:val="en-US" w:eastAsia="zh-CN" w:bidi="ar-SA"/>
        </w:rPr>
        <w:t>《乌尔禾区项目管理办法》，制度文件规定了项目的组织与管理、立项与实施、跟踪与验收、监督与评价等内容；对实施项目资金的工作内容、奖励标准、控制环节作出了明确的规范要求，奖励标准的主要管理制度等，《乌尔禾区全面实施预算绩效管理实施方案的通知》（《克乌党发〔2018〕32号》）制度文件规定了项目的监督与处罚等内容。</w:t>
      </w:r>
    </w:p>
    <w:p>
      <w:pPr>
        <w:pStyle w:val="9"/>
        <w:keepNext w:val="0"/>
        <w:keepLines w:val="0"/>
        <w:pageBreakBefore w:val="0"/>
        <w:shd w:val="clear" w:color="auto" w:fill="auto"/>
        <w:kinsoku/>
        <w:wordWrap/>
        <w:overflowPunct/>
        <w:topLinePunct w:val="0"/>
        <w:autoSpaceDE/>
        <w:autoSpaceDN/>
        <w:bidi w:val="0"/>
        <w:adjustRightInd w:val="0"/>
        <w:snapToGrid w:val="0"/>
        <w:spacing w:line="560" w:lineRule="exact"/>
        <w:ind w:left="0" w:leftChars="0" w:firstLine="660"/>
        <w:textAlignment w:val="auto"/>
        <w:rPr>
          <w:rFonts w:ascii="仿宋_GB2312" w:hAnsi="Times New Roman" w:eastAsia="仿宋_GB2312" w:cs="Times New Roman"/>
          <w:szCs w:val="24"/>
          <w:highlight w:val="none"/>
          <w:lang w:val="en-US" w:eastAsia="zh-CN" w:bidi="ar-SA"/>
        </w:rPr>
      </w:pPr>
      <w:r>
        <w:rPr>
          <w:rFonts w:ascii="仿宋_GB2312" w:hAnsi="Times New Roman" w:eastAsia="仿宋_GB2312" w:cs="Times New Roman"/>
          <w:szCs w:val="24"/>
          <w:highlight w:val="none"/>
          <w:lang w:val="en-US" w:eastAsia="zh-CN" w:bidi="ar-SA"/>
        </w:rPr>
        <w:t>本次评价认为：项目政策及管理办法基本完善，做到了对每个环节进行把控。</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outlineLvl w:val="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（三）项目产出情况</w:t>
      </w:r>
    </w:p>
    <w:p>
      <w:pPr>
        <w:pStyle w:val="9"/>
        <w:keepNext w:val="0"/>
        <w:keepLines w:val="0"/>
        <w:pageBreakBefore w:val="0"/>
        <w:kinsoku/>
        <w:wordWrap/>
        <w:overflowPunct/>
        <w:topLinePunct w:val="0"/>
        <w:autoSpaceDE/>
        <w:autoSpaceDN/>
        <w:bidi w:val="0"/>
        <w:adjustRightInd w:val="0"/>
        <w:snapToGrid w:val="0"/>
        <w:spacing w:line="560" w:lineRule="exact"/>
        <w:ind w:left="0" w:leftChars="0" w:firstLine="660"/>
        <w:textAlignment w:val="auto"/>
        <w:rPr>
          <w:rFonts w:ascii="仿宋_GB2312" w:hAnsi="仿宋_GB2312" w:eastAsia="仿宋_GB2312" w:cs="仿宋_GB2312"/>
          <w:szCs w:val="24"/>
          <w:lang w:val="en-US" w:eastAsia="zh-CN" w:bidi="ar-SA"/>
        </w:rPr>
      </w:pPr>
      <w:r>
        <w:rPr>
          <w:rFonts w:hint="eastAsia" w:ascii="仿宋_GB2312" w:hAnsi="仿宋_GB2312" w:eastAsia="仿宋_GB2312" w:cs="仿宋_GB2312"/>
          <w:szCs w:val="24"/>
          <w:lang w:val="en-US" w:eastAsia="zh-CN" w:bidi="ar-SA"/>
        </w:rPr>
        <w:t>项目产出数量、质量、成本、时效指标如下：</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outlineLvl w:val="0"/>
        <w:rPr>
          <w:rFonts w:hint="eastAsia" w:ascii="仿宋_GB2312" w:hAnsi="Times New Roman" w:eastAsia="仿宋_GB2312" w:cs="Times New Roman"/>
          <w:sz w:val="30"/>
          <w:szCs w:val="24"/>
          <w:highlight w:val="none"/>
          <w:lang w:eastAsia="zh-CN"/>
        </w:rPr>
      </w:pPr>
      <w:r>
        <w:rPr>
          <w:rFonts w:hint="eastAsia" w:ascii="仿宋_GB2312" w:hAnsi="Times New Roman" w:eastAsia="仿宋_GB2312" w:cs="Times New Roman"/>
          <w:sz w:val="30"/>
          <w:szCs w:val="24"/>
          <w:highlight w:val="none"/>
        </w:rPr>
        <w:t>数量指标：审计报告数量指标值</w:t>
      </w:r>
      <w:r>
        <w:rPr>
          <w:rFonts w:hint="eastAsia" w:ascii="仿宋_GB2312" w:hAnsi="Times New Roman" w:eastAsia="仿宋_GB2312" w:cs="Times New Roman"/>
          <w:sz w:val="30"/>
          <w:szCs w:val="24"/>
          <w:highlight w:val="none"/>
          <w:lang w:eastAsia="zh-CN"/>
        </w:rPr>
        <w:t>10</w:t>
      </w:r>
      <w:r>
        <w:rPr>
          <w:rFonts w:hint="eastAsia" w:ascii="仿宋_GB2312" w:hAnsi="Times New Roman" w:cs="Times New Roman"/>
          <w:sz w:val="30"/>
          <w:szCs w:val="24"/>
          <w:highlight w:val="none"/>
          <w:lang w:eastAsia="zh-CN"/>
        </w:rPr>
        <w:t>篇</w:t>
      </w:r>
      <w:r>
        <w:rPr>
          <w:rFonts w:hint="eastAsia" w:ascii="仿宋_GB2312" w:hAnsi="Times New Roman" w:eastAsia="仿宋_GB2312" w:cs="Times New Roman"/>
          <w:sz w:val="30"/>
          <w:szCs w:val="24"/>
          <w:highlight w:val="none"/>
        </w:rPr>
        <w:t>，</w:t>
      </w:r>
      <w:r>
        <w:rPr>
          <w:rFonts w:hint="eastAsia" w:ascii="仿宋_GB2312" w:hAnsi="Times New Roman" w:cs="Times New Roman"/>
          <w:sz w:val="30"/>
          <w:szCs w:val="24"/>
          <w:highlight w:val="none"/>
          <w:lang w:eastAsia="zh-CN"/>
        </w:rPr>
        <w:t>实际</w:t>
      </w:r>
      <w:r>
        <w:rPr>
          <w:rFonts w:hint="eastAsia" w:ascii="仿宋_GB2312" w:hAnsi="Times New Roman" w:eastAsia="仿宋_GB2312" w:cs="Times New Roman"/>
          <w:sz w:val="30"/>
          <w:szCs w:val="24"/>
          <w:highlight w:val="none"/>
        </w:rPr>
        <w:t>完成值</w:t>
      </w:r>
      <w:r>
        <w:rPr>
          <w:rFonts w:hint="eastAsia" w:ascii="仿宋_GB2312" w:hAnsi="Times New Roman" w:eastAsia="仿宋_GB2312" w:cs="Times New Roman"/>
          <w:sz w:val="30"/>
          <w:szCs w:val="24"/>
          <w:highlight w:val="none"/>
          <w:lang w:eastAsia="zh-CN"/>
        </w:rPr>
        <w:t>10</w:t>
      </w:r>
      <w:r>
        <w:rPr>
          <w:rFonts w:hint="eastAsia" w:ascii="仿宋_GB2312" w:hAnsi="Times New Roman" w:cs="Times New Roman"/>
          <w:sz w:val="30"/>
          <w:szCs w:val="24"/>
          <w:highlight w:val="none"/>
          <w:lang w:eastAsia="zh-CN"/>
        </w:rPr>
        <w:t>篇</w:t>
      </w:r>
      <w:r>
        <w:rPr>
          <w:rFonts w:hint="eastAsia" w:ascii="仿宋_GB2312" w:hAnsi="Times New Roman" w:eastAsia="仿宋_GB2312" w:cs="Times New Roman"/>
          <w:sz w:val="30"/>
          <w:szCs w:val="24"/>
          <w:highlight w:val="none"/>
        </w:rPr>
        <w:t>，完成率100%；建设单位委托审计项目个数指标值</w:t>
      </w:r>
      <w:r>
        <w:rPr>
          <w:rFonts w:hint="eastAsia" w:ascii="仿宋_GB2312" w:hAnsi="Times New Roman" w:eastAsia="仿宋_GB2312" w:cs="Times New Roman"/>
          <w:sz w:val="30"/>
          <w:szCs w:val="24"/>
          <w:highlight w:val="none"/>
          <w:lang w:eastAsia="zh-CN"/>
        </w:rPr>
        <w:t>10</w:t>
      </w:r>
      <w:r>
        <w:rPr>
          <w:rFonts w:hint="eastAsia" w:ascii="仿宋_GB2312" w:hAnsi="Times New Roman" w:cs="Times New Roman"/>
          <w:sz w:val="30"/>
          <w:szCs w:val="24"/>
          <w:highlight w:val="none"/>
          <w:lang w:eastAsia="zh-CN"/>
        </w:rPr>
        <w:t>个</w:t>
      </w:r>
      <w:r>
        <w:rPr>
          <w:rFonts w:hint="eastAsia" w:ascii="仿宋_GB2312" w:hAnsi="Times New Roman" w:eastAsia="仿宋_GB2312" w:cs="Times New Roman"/>
          <w:sz w:val="30"/>
          <w:szCs w:val="24"/>
          <w:highlight w:val="none"/>
        </w:rPr>
        <w:t>,</w:t>
      </w:r>
      <w:r>
        <w:rPr>
          <w:rFonts w:hint="eastAsia" w:ascii="仿宋_GB2312" w:hAnsi="Times New Roman" w:cs="Times New Roman"/>
          <w:sz w:val="30"/>
          <w:szCs w:val="24"/>
          <w:highlight w:val="none"/>
          <w:lang w:eastAsia="zh-CN"/>
        </w:rPr>
        <w:t>实际</w:t>
      </w:r>
      <w:r>
        <w:rPr>
          <w:rFonts w:hint="eastAsia" w:ascii="仿宋_GB2312" w:hAnsi="Times New Roman" w:eastAsia="仿宋_GB2312" w:cs="Times New Roman"/>
          <w:sz w:val="30"/>
          <w:szCs w:val="24"/>
          <w:highlight w:val="none"/>
        </w:rPr>
        <w:t>完成值</w:t>
      </w:r>
      <w:r>
        <w:rPr>
          <w:rFonts w:hint="eastAsia" w:ascii="仿宋_GB2312" w:hAnsi="Times New Roman" w:eastAsia="仿宋_GB2312" w:cs="Times New Roman"/>
          <w:sz w:val="30"/>
          <w:szCs w:val="24"/>
          <w:highlight w:val="none"/>
          <w:lang w:eastAsia="zh-CN"/>
        </w:rPr>
        <w:t>10</w:t>
      </w:r>
      <w:r>
        <w:rPr>
          <w:rFonts w:hint="eastAsia" w:ascii="仿宋_GB2312" w:hAnsi="Times New Roman" w:eastAsia="仿宋_GB2312" w:cs="Times New Roman"/>
          <w:sz w:val="30"/>
          <w:szCs w:val="24"/>
          <w:highlight w:val="none"/>
        </w:rPr>
        <w:t>个，完成率100%；</w:t>
      </w:r>
      <w:r>
        <w:rPr>
          <w:rFonts w:hint="eastAsia" w:ascii="仿宋_GB2312" w:hAnsi="Times New Roman" w:eastAsia="仿宋_GB2312" w:cs="Times New Roman"/>
          <w:sz w:val="30"/>
          <w:szCs w:val="24"/>
          <w:highlight w:val="none"/>
          <w:lang w:eastAsia="zh-CN"/>
        </w:rPr>
        <w:t>委托造价公司的个数</w:t>
      </w:r>
      <w:r>
        <w:rPr>
          <w:rFonts w:hint="eastAsia" w:ascii="仿宋_GB2312" w:hAnsi="Times New Roman" w:eastAsia="仿宋_GB2312" w:cs="Times New Roman"/>
          <w:sz w:val="30"/>
          <w:szCs w:val="24"/>
          <w:highlight w:val="none"/>
        </w:rPr>
        <w:t>指标值</w:t>
      </w:r>
      <w:r>
        <w:rPr>
          <w:rFonts w:hint="eastAsia" w:ascii="仿宋_GB2312" w:hAnsi="Times New Roman" w:eastAsia="仿宋_GB2312" w:cs="Times New Roman"/>
          <w:sz w:val="30"/>
          <w:szCs w:val="24"/>
          <w:highlight w:val="none"/>
          <w:lang w:eastAsia="zh-CN"/>
        </w:rPr>
        <w:t>5</w:t>
      </w:r>
      <w:r>
        <w:rPr>
          <w:rFonts w:hint="eastAsia" w:ascii="仿宋_GB2312" w:hAnsi="Times New Roman" w:cs="Times New Roman"/>
          <w:sz w:val="30"/>
          <w:szCs w:val="24"/>
          <w:highlight w:val="none"/>
          <w:lang w:eastAsia="zh-CN"/>
        </w:rPr>
        <w:t>家</w:t>
      </w:r>
      <w:r>
        <w:rPr>
          <w:rFonts w:hint="eastAsia" w:ascii="仿宋_GB2312" w:hAnsi="Times New Roman" w:eastAsia="仿宋_GB2312" w:cs="Times New Roman"/>
          <w:sz w:val="30"/>
          <w:szCs w:val="24"/>
          <w:highlight w:val="none"/>
        </w:rPr>
        <w:t>,</w:t>
      </w:r>
      <w:r>
        <w:rPr>
          <w:rFonts w:hint="eastAsia" w:ascii="仿宋_GB2312" w:hAnsi="Times New Roman" w:cs="Times New Roman"/>
          <w:sz w:val="30"/>
          <w:szCs w:val="24"/>
          <w:highlight w:val="none"/>
          <w:lang w:eastAsia="zh-CN"/>
        </w:rPr>
        <w:t>实际</w:t>
      </w:r>
      <w:r>
        <w:rPr>
          <w:rFonts w:hint="eastAsia" w:ascii="仿宋_GB2312" w:hAnsi="Times New Roman" w:eastAsia="仿宋_GB2312" w:cs="Times New Roman"/>
          <w:sz w:val="30"/>
          <w:szCs w:val="24"/>
          <w:highlight w:val="none"/>
        </w:rPr>
        <w:t>完成值</w:t>
      </w:r>
      <w:r>
        <w:rPr>
          <w:rFonts w:hint="eastAsia" w:ascii="仿宋_GB2312" w:hAnsi="Times New Roman" w:eastAsia="仿宋_GB2312" w:cs="Times New Roman"/>
          <w:sz w:val="30"/>
          <w:szCs w:val="24"/>
          <w:highlight w:val="none"/>
          <w:lang w:eastAsia="zh-CN"/>
        </w:rPr>
        <w:t>5家</w:t>
      </w:r>
      <w:r>
        <w:rPr>
          <w:rFonts w:hint="eastAsia" w:ascii="仿宋_GB2312" w:hAnsi="Times New Roman" w:eastAsia="仿宋_GB2312" w:cs="Times New Roman"/>
          <w:sz w:val="30"/>
          <w:szCs w:val="24"/>
          <w:highlight w:val="none"/>
        </w:rPr>
        <w:t>，完成率100%</w:t>
      </w:r>
      <w:r>
        <w:rPr>
          <w:rFonts w:hint="eastAsia" w:ascii="仿宋_GB2312" w:hAnsi="Times New Roman" w:cs="Times New Roman"/>
          <w:sz w:val="30"/>
          <w:szCs w:val="24"/>
          <w:highlight w:val="none"/>
          <w:lang w:eastAsia="zh-CN"/>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outlineLvl w:val="0"/>
        <w:rPr>
          <w:rFonts w:hint="eastAsia" w:ascii="仿宋_GB2312" w:hAnsi="Times New Roman" w:eastAsia="仿宋_GB2312" w:cs="Times New Roman"/>
          <w:sz w:val="30"/>
          <w:szCs w:val="24"/>
          <w:highlight w:val="none"/>
          <w:lang w:eastAsia="zh-CN"/>
        </w:rPr>
      </w:pPr>
      <w:r>
        <w:rPr>
          <w:rFonts w:hint="eastAsia" w:ascii="仿宋_GB2312" w:hAnsi="Times New Roman" w:eastAsia="仿宋_GB2312" w:cs="Times New Roman"/>
          <w:sz w:val="30"/>
          <w:szCs w:val="24"/>
          <w:highlight w:val="none"/>
        </w:rPr>
        <w:t>质量指标：委托造价公司的资质符合率指标值100%，</w:t>
      </w:r>
      <w:r>
        <w:rPr>
          <w:rFonts w:hint="eastAsia" w:ascii="仿宋_GB2312" w:hAnsi="Times New Roman" w:cs="Times New Roman"/>
          <w:sz w:val="30"/>
          <w:szCs w:val="24"/>
          <w:highlight w:val="none"/>
          <w:lang w:eastAsia="zh-CN"/>
        </w:rPr>
        <w:t>实际</w:t>
      </w:r>
      <w:r>
        <w:rPr>
          <w:rFonts w:hint="eastAsia" w:ascii="仿宋_GB2312" w:hAnsi="Times New Roman" w:eastAsia="仿宋_GB2312" w:cs="Times New Roman"/>
          <w:sz w:val="30"/>
          <w:szCs w:val="24"/>
          <w:highlight w:val="none"/>
        </w:rPr>
        <w:t>完成值100%，完成率100%</w:t>
      </w:r>
      <w:r>
        <w:rPr>
          <w:rFonts w:hint="eastAsia" w:ascii="仿宋_GB2312" w:hAnsi="Times New Roman" w:cs="Times New Roman"/>
          <w:sz w:val="30"/>
          <w:szCs w:val="24"/>
          <w:highlight w:val="none"/>
          <w:lang w:eastAsia="zh-CN"/>
        </w:rPr>
        <w:t>；</w:t>
      </w:r>
      <w:r>
        <w:rPr>
          <w:rFonts w:hint="eastAsia" w:ascii="仿宋_GB2312" w:hAnsi="Times New Roman" w:eastAsia="仿宋_GB2312" w:cs="Times New Roman"/>
          <w:sz w:val="30"/>
          <w:szCs w:val="24"/>
          <w:highlight w:val="none"/>
        </w:rPr>
        <w:t>审计委托业务完成质量合格率指标值90%，</w:t>
      </w:r>
      <w:r>
        <w:rPr>
          <w:rFonts w:hint="eastAsia" w:ascii="仿宋_GB2312" w:hAnsi="Times New Roman" w:cs="Times New Roman"/>
          <w:sz w:val="30"/>
          <w:szCs w:val="24"/>
          <w:highlight w:val="none"/>
          <w:lang w:eastAsia="zh-CN"/>
        </w:rPr>
        <w:t>实际</w:t>
      </w:r>
      <w:r>
        <w:rPr>
          <w:rFonts w:hint="eastAsia" w:ascii="仿宋_GB2312" w:hAnsi="Times New Roman" w:eastAsia="仿宋_GB2312" w:cs="Times New Roman"/>
          <w:sz w:val="30"/>
          <w:szCs w:val="24"/>
          <w:highlight w:val="none"/>
        </w:rPr>
        <w:t>完成值95%，指标完成率100%；</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outlineLvl w:val="0"/>
        <w:rPr>
          <w:rFonts w:hint="eastAsia" w:ascii="仿宋_GB2312" w:hAnsi="Times New Roman" w:eastAsia="仿宋_GB2312" w:cs="Times New Roman"/>
          <w:sz w:val="30"/>
          <w:szCs w:val="24"/>
          <w:highlight w:val="none"/>
          <w:lang w:eastAsia="zh-CN"/>
        </w:rPr>
      </w:pPr>
      <w:r>
        <w:rPr>
          <w:rFonts w:hint="eastAsia" w:ascii="仿宋_GB2312" w:hAnsi="Times New Roman" w:eastAsia="仿宋_GB2312" w:cs="Times New Roman"/>
          <w:sz w:val="30"/>
          <w:szCs w:val="24"/>
          <w:highlight w:val="none"/>
        </w:rPr>
        <w:t>时效指标：项目完</w:t>
      </w:r>
      <w:r>
        <w:rPr>
          <w:rFonts w:hint="eastAsia" w:ascii="仿宋_GB2312" w:hAnsi="Times New Roman" w:eastAsia="仿宋_GB2312" w:cs="Times New Roman"/>
          <w:sz w:val="30"/>
          <w:szCs w:val="24"/>
          <w:highlight w:val="none"/>
          <w:lang w:eastAsia="zh-CN"/>
        </w:rPr>
        <w:t>成</w:t>
      </w:r>
      <w:r>
        <w:rPr>
          <w:rFonts w:hint="eastAsia" w:ascii="仿宋_GB2312" w:hAnsi="Times New Roman" w:eastAsia="仿宋_GB2312" w:cs="Times New Roman"/>
          <w:sz w:val="30"/>
          <w:szCs w:val="24"/>
          <w:highlight w:val="none"/>
        </w:rPr>
        <w:t>时间指标值9个月，</w:t>
      </w:r>
      <w:r>
        <w:rPr>
          <w:rFonts w:hint="eastAsia" w:ascii="仿宋_GB2312" w:hAnsi="Times New Roman" w:cs="Times New Roman"/>
          <w:sz w:val="30"/>
          <w:szCs w:val="24"/>
          <w:highlight w:val="none"/>
          <w:lang w:eastAsia="zh-CN"/>
        </w:rPr>
        <w:t>实际</w:t>
      </w:r>
      <w:r>
        <w:rPr>
          <w:rFonts w:hint="eastAsia" w:ascii="仿宋_GB2312" w:hAnsi="Times New Roman" w:eastAsia="仿宋_GB2312" w:cs="Times New Roman"/>
          <w:sz w:val="30"/>
          <w:szCs w:val="24"/>
          <w:highlight w:val="none"/>
        </w:rPr>
        <w:t>完成值</w:t>
      </w:r>
      <w:r>
        <w:rPr>
          <w:rFonts w:hint="eastAsia" w:ascii="仿宋_GB2312" w:hAnsi="Times New Roman" w:eastAsia="仿宋_GB2312" w:cs="Times New Roman"/>
          <w:sz w:val="30"/>
          <w:szCs w:val="24"/>
          <w:highlight w:val="none"/>
          <w:lang w:eastAsia="zh-CN"/>
        </w:rPr>
        <w:t>8</w:t>
      </w:r>
      <w:r>
        <w:rPr>
          <w:rFonts w:hint="eastAsia" w:ascii="仿宋_GB2312" w:hAnsi="Times New Roman" w:eastAsia="仿宋_GB2312" w:cs="Times New Roman"/>
          <w:sz w:val="30"/>
          <w:szCs w:val="24"/>
          <w:highlight w:val="none"/>
        </w:rPr>
        <w:t>个月，完成率100%</w:t>
      </w:r>
      <w:r>
        <w:rPr>
          <w:rFonts w:hint="eastAsia" w:ascii="仿宋_GB2312" w:hAnsi="Times New Roman" w:cs="Times New Roman"/>
          <w:sz w:val="30"/>
          <w:szCs w:val="24"/>
          <w:highlight w:val="none"/>
          <w:lang w:eastAsia="zh-CN"/>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outlineLvl w:val="0"/>
        <w:rPr>
          <w:rFonts w:hint="eastAsia" w:ascii="仿宋_GB2312" w:hAnsi="Times New Roman" w:eastAsia="仿宋_GB2312" w:cs="Times New Roman"/>
          <w:sz w:val="30"/>
          <w:szCs w:val="24"/>
          <w:highlight w:val="none"/>
          <w:lang w:eastAsia="zh-CN"/>
        </w:rPr>
      </w:pPr>
      <w:r>
        <w:rPr>
          <w:rFonts w:hint="eastAsia" w:ascii="仿宋_GB2312" w:hAnsi="Times New Roman" w:eastAsia="仿宋_GB2312" w:cs="Times New Roman"/>
          <w:sz w:val="30"/>
          <w:szCs w:val="24"/>
          <w:highlight w:val="none"/>
        </w:rPr>
        <w:t>成本指标：</w:t>
      </w:r>
      <w:r>
        <w:rPr>
          <w:rFonts w:hint="eastAsia" w:ascii="仿宋_GB2312" w:hAnsi="Times New Roman" w:eastAsia="仿宋_GB2312" w:cs="Times New Roman"/>
          <w:sz w:val="30"/>
          <w:szCs w:val="24"/>
          <w:highlight w:val="none"/>
          <w:lang w:eastAsia="zh-CN"/>
        </w:rPr>
        <w:t>委托中介机构所需费用</w:t>
      </w:r>
      <w:r>
        <w:rPr>
          <w:rFonts w:hint="eastAsia" w:ascii="仿宋_GB2312" w:hAnsi="Times New Roman" w:eastAsia="仿宋_GB2312" w:cs="Times New Roman"/>
          <w:sz w:val="30"/>
          <w:szCs w:val="24"/>
          <w:highlight w:val="none"/>
        </w:rPr>
        <w:t>指标值</w:t>
      </w:r>
      <w:r>
        <w:rPr>
          <w:rFonts w:hint="eastAsia" w:ascii="仿宋_GB2312" w:cs="Times New Roman"/>
          <w:sz w:val="30"/>
          <w:szCs w:val="24"/>
          <w:highlight w:val="none"/>
          <w:lang w:val="en-US" w:eastAsia="zh-CN"/>
        </w:rPr>
        <w:t>68.63</w:t>
      </w:r>
      <w:r>
        <w:rPr>
          <w:rFonts w:hint="eastAsia" w:ascii="仿宋_GB2312" w:hAnsi="Times New Roman" w:eastAsia="仿宋_GB2312" w:cs="Times New Roman"/>
          <w:sz w:val="30"/>
          <w:szCs w:val="24"/>
          <w:highlight w:val="none"/>
        </w:rPr>
        <w:t>万元，</w:t>
      </w:r>
      <w:r>
        <w:rPr>
          <w:rFonts w:hint="eastAsia" w:ascii="仿宋_GB2312" w:hAnsi="Times New Roman" w:cs="Times New Roman"/>
          <w:sz w:val="30"/>
          <w:szCs w:val="24"/>
          <w:highlight w:val="none"/>
          <w:lang w:eastAsia="zh-CN"/>
        </w:rPr>
        <w:t>实际</w:t>
      </w:r>
      <w:r>
        <w:rPr>
          <w:rFonts w:hint="eastAsia" w:ascii="仿宋_GB2312" w:hAnsi="Times New Roman" w:eastAsia="仿宋_GB2312" w:cs="Times New Roman"/>
          <w:sz w:val="30"/>
          <w:szCs w:val="24"/>
          <w:highlight w:val="none"/>
        </w:rPr>
        <w:t>完成值68.63万元，</w:t>
      </w:r>
      <w:r>
        <w:rPr>
          <w:rFonts w:hint="eastAsia" w:ascii="仿宋_GB2312" w:hAnsi="Times New Roman" w:eastAsia="仿宋_GB2312" w:cs="Times New Roman"/>
          <w:sz w:val="30"/>
          <w:szCs w:val="24"/>
          <w:highlight w:val="none"/>
          <w:lang w:val="zh-TW" w:eastAsia="zh-TW"/>
        </w:rPr>
        <w:t>完成率</w:t>
      </w:r>
      <w:r>
        <w:rPr>
          <w:rFonts w:hint="eastAsia" w:ascii="仿宋_GB2312" w:cs="Times New Roman"/>
          <w:sz w:val="30"/>
          <w:szCs w:val="24"/>
          <w:highlight w:val="none"/>
          <w:lang w:val="en-US" w:eastAsia="zh-CN"/>
        </w:rPr>
        <w:t>100</w:t>
      </w:r>
      <w:r>
        <w:rPr>
          <w:rFonts w:hint="eastAsia" w:ascii="仿宋_GB2312" w:hAnsi="Times New Roman" w:eastAsia="仿宋_GB2312" w:cs="Times New Roman"/>
          <w:sz w:val="30"/>
          <w:szCs w:val="24"/>
          <w:highlight w:val="none"/>
          <w:lang w:val="zh-TW" w:eastAsia="zh-TW"/>
        </w:rPr>
        <w:t>%</w:t>
      </w:r>
      <w:r>
        <w:rPr>
          <w:rFonts w:hint="eastAsia" w:ascii="仿宋_GB2312" w:hAnsi="Times New Roman" w:eastAsia="仿宋_GB2312" w:cs="Times New Roman"/>
          <w:sz w:val="30"/>
          <w:szCs w:val="24"/>
          <w:highlight w:val="none"/>
          <w:lang w:val="zh-TW" w:eastAsia="zh-CN"/>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outlineLvl w:val="0"/>
        <w:rPr>
          <w:rFonts w:hint="eastAsia" w:ascii="仿宋_GB2312" w:hAnsi="Times New Roman" w:eastAsia="仿宋_GB2312" w:cs="Times New Roman"/>
          <w:sz w:val="30"/>
          <w:szCs w:val="24"/>
          <w:highlight w:val="none"/>
          <w:lang w:val="zh-TW" w:eastAsia="zh-TW"/>
        </w:rPr>
      </w:pPr>
      <w:r>
        <w:rPr>
          <w:rFonts w:hint="eastAsia" w:ascii="仿宋_GB2312" w:hAnsi="Times New Roman" w:eastAsia="仿宋_GB2312" w:cs="Times New Roman"/>
          <w:sz w:val="30"/>
          <w:szCs w:val="24"/>
          <w:highlight w:val="none"/>
          <w:lang w:val="zh-TW" w:eastAsia="zh-TW"/>
        </w:rPr>
        <w:t>截止2020年12月31日，根据设定数量指标已全部完成，得分</w:t>
      </w:r>
      <w:r>
        <w:rPr>
          <w:rFonts w:hint="eastAsia" w:ascii="仿宋_GB2312" w:hAnsi="Times New Roman" w:eastAsia="仿宋_GB2312" w:cs="Times New Roman"/>
          <w:sz w:val="30"/>
          <w:szCs w:val="24"/>
          <w:highlight w:val="none"/>
          <w:lang w:val="zh-TW"/>
        </w:rPr>
        <w:t>21</w:t>
      </w:r>
      <w:r>
        <w:rPr>
          <w:rFonts w:hint="eastAsia" w:ascii="仿宋_GB2312" w:hAnsi="Times New Roman" w:eastAsia="仿宋_GB2312" w:cs="Times New Roman"/>
          <w:sz w:val="30"/>
          <w:szCs w:val="24"/>
          <w:highlight w:val="none"/>
          <w:lang w:val="zh-TW" w:eastAsia="zh-TW"/>
        </w:rPr>
        <w:t>分；根据设定质量指标已全部完成，得分</w:t>
      </w:r>
      <w:r>
        <w:rPr>
          <w:rFonts w:hint="eastAsia" w:ascii="仿宋_GB2312" w:hAnsi="Times New Roman" w:eastAsia="仿宋_GB2312" w:cs="Times New Roman"/>
          <w:sz w:val="30"/>
          <w:szCs w:val="24"/>
          <w:highlight w:val="none"/>
          <w:lang w:val="zh-TW"/>
        </w:rPr>
        <w:t>16</w:t>
      </w:r>
      <w:r>
        <w:rPr>
          <w:rFonts w:hint="eastAsia" w:ascii="仿宋_GB2312" w:hAnsi="Times New Roman" w:eastAsia="仿宋_GB2312" w:cs="Times New Roman"/>
          <w:sz w:val="30"/>
          <w:szCs w:val="24"/>
          <w:highlight w:val="none"/>
          <w:lang w:val="zh-TW" w:eastAsia="zh-TW"/>
        </w:rPr>
        <w:t>分；根据设定时效指标已全部完成，得分</w:t>
      </w:r>
      <w:r>
        <w:rPr>
          <w:rFonts w:hint="eastAsia" w:ascii="仿宋_GB2312" w:hAnsi="Times New Roman" w:eastAsia="仿宋_GB2312" w:cs="Times New Roman"/>
          <w:sz w:val="30"/>
          <w:szCs w:val="24"/>
          <w:highlight w:val="none"/>
          <w:lang w:val="zh-TW"/>
        </w:rPr>
        <w:t>7</w:t>
      </w:r>
      <w:r>
        <w:rPr>
          <w:rFonts w:hint="eastAsia" w:ascii="仿宋_GB2312" w:hAnsi="Times New Roman" w:eastAsia="仿宋_GB2312" w:cs="Times New Roman"/>
          <w:sz w:val="30"/>
          <w:szCs w:val="24"/>
          <w:highlight w:val="none"/>
          <w:lang w:val="zh-TW" w:eastAsia="zh-TW"/>
        </w:rPr>
        <w:t>分；根据设定成本指标已全部完成，得分</w:t>
      </w:r>
      <w:r>
        <w:rPr>
          <w:rFonts w:hint="eastAsia" w:ascii="仿宋_GB2312" w:cs="Times New Roman"/>
          <w:sz w:val="30"/>
          <w:szCs w:val="24"/>
          <w:highlight w:val="none"/>
          <w:lang w:val="en-US" w:eastAsia="zh-CN"/>
        </w:rPr>
        <w:t>6</w:t>
      </w:r>
      <w:r>
        <w:rPr>
          <w:rFonts w:hint="eastAsia" w:ascii="仿宋_GB2312" w:hAnsi="Times New Roman" w:eastAsia="仿宋_GB2312" w:cs="Times New Roman"/>
          <w:sz w:val="30"/>
          <w:szCs w:val="24"/>
          <w:highlight w:val="none"/>
          <w:lang w:val="zh-TW" w:eastAsia="zh-TW"/>
        </w:rPr>
        <w:t>分；项目产出情况合计得分</w:t>
      </w:r>
      <w:r>
        <w:rPr>
          <w:rFonts w:hint="eastAsia" w:ascii="仿宋_GB2312" w:cs="Times New Roman"/>
          <w:sz w:val="30"/>
          <w:szCs w:val="24"/>
          <w:highlight w:val="none"/>
          <w:lang w:val="en-US" w:eastAsia="zh-CN"/>
        </w:rPr>
        <w:t>50</w:t>
      </w:r>
      <w:r>
        <w:rPr>
          <w:rFonts w:hint="eastAsia" w:ascii="仿宋_GB2312" w:hAnsi="Times New Roman" w:eastAsia="仿宋_GB2312" w:cs="Times New Roman"/>
          <w:sz w:val="30"/>
          <w:szCs w:val="24"/>
          <w:highlight w:val="none"/>
          <w:lang w:val="zh-TW" w:eastAsia="zh-TW"/>
        </w:rPr>
        <w:t>分。</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outlineLvl w:val="0"/>
        <w:rPr>
          <w:rFonts w:hint="eastAsia" w:ascii="仿宋_GB2312" w:hAnsi="Times New Roman" w:eastAsia="仿宋_GB2312"/>
          <w:sz w:val="30"/>
          <w:szCs w:val="24"/>
        </w:rPr>
      </w:pPr>
      <w:r>
        <w:rPr>
          <w:rFonts w:hint="eastAsia" w:ascii="仿宋_GB2312" w:hAnsi="Times New Roman" w:eastAsia="仿宋_GB2312"/>
          <w:sz w:val="30"/>
          <w:szCs w:val="24"/>
        </w:rPr>
        <w:t>（四）项目效益情况</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outlineLvl w:val="0"/>
        <w:rPr>
          <w:rFonts w:hint="eastAsia" w:ascii="仿宋_GB2312" w:hAnsi="Times New Roman" w:eastAsia="仿宋_GB2312" w:cs="Times New Roman"/>
          <w:sz w:val="30"/>
          <w:szCs w:val="24"/>
          <w:lang w:val="en-US" w:eastAsia="zh-CN"/>
        </w:rPr>
      </w:pPr>
      <w:r>
        <w:rPr>
          <w:rFonts w:hint="eastAsia" w:ascii="仿宋_GB2312" w:hAnsi="Times New Roman" w:eastAsia="仿宋_GB2312" w:cs="Times New Roman"/>
          <w:sz w:val="30"/>
          <w:szCs w:val="24"/>
          <w:lang w:val="en-US" w:eastAsia="zh-CN"/>
        </w:rPr>
        <w:t>项目经济效益、社会效益、生态效益、可持续影响指标完成情况如下：</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outlineLvl w:val="0"/>
        <w:rPr>
          <w:rFonts w:hint="eastAsia" w:ascii="仿宋_GB2312" w:hAnsi="Times New Roman" w:eastAsia="仿宋_GB2312" w:cs="Times New Roman"/>
          <w:sz w:val="30"/>
          <w:szCs w:val="24"/>
          <w:lang w:eastAsia="zh-CN"/>
        </w:rPr>
      </w:pPr>
      <w:r>
        <w:rPr>
          <w:rFonts w:hint="eastAsia" w:ascii="仿宋_GB2312" w:hAnsi="Times New Roman" w:eastAsia="仿宋_GB2312" w:cs="Times New Roman"/>
          <w:sz w:val="30"/>
          <w:szCs w:val="24"/>
        </w:rPr>
        <w:t>无</w:t>
      </w:r>
      <w:r>
        <w:rPr>
          <w:rFonts w:hint="eastAsia" w:ascii="仿宋_GB2312" w:hAnsi="Times New Roman" w:eastAsia="仿宋_GB2312" w:cs="Times New Roman"/>
          <w:sz w:val="30"/>
          <w:szCs w:val="24"/>
          <w:lang w:eastAsia="zh-CN"/>
        </w:rPr>
        <w:t>经济</w:t>
      </w:r>
      <w:r>
        <w:rPr>
          <w:rFonts w:hint="eastAsia" w:ascii="仿宋_GB2312" w:hAnsi="Times New Roman" w:eastAsia="仿宋_GB2312" w:cs="Times New Roman"/>
          <w:sz w:val="30"/>
          <w:szCs w:val="24"/>
        </w:rPr>
        <w:t>效益指标</w:t>
      </w:r>
      <w:r>
        <w:rPr>
          <w:rFonts w:hint="eastAsia" w:ascii="仿宋_GB2312" w:hAnsi="Times New Roman" w:cs="Times New Roman"/>
          <w:sz w:val="30"/>
          <w:szCs w:val="24"/>
          <w:lang w:eastAsia="zh-CN"/>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outlineLvl w:val="0"/>
        <w:rPr>
          <w:rFonts w:hint="eastAsia" w:ascii="仿宋_GB2312" w:hAnsi="Times New Roman" w:eastAsia="仿宋_GB2312" w:cs="Times New Roman"/>
          <w:sz w:val="30"/>
          <w:szCs w:val="24"/>
          <w:lang w:eastAsia="zh-CN"/>
        </w:rPr>
      </w:pPr>
      <w:r>
        <w:rPr>
          <w:rFonts w:hint="eastAsia" w:ascii="仿宋_GB2312" w:hAnsi="Times New Roman" w:eastAsia="仿宋_GB2312" w:cs="Times New Roman"/>
          <w:sz w:val="30"/>
          <w:szCs w:val="24"/>
        </w:rPr>
        <w:t>社会效益指标：审计工作圆满完成率指标值95%，</w:t>
      </w:r>
      <w:r>
        <w:rPr>
          <w:rFonts w:hint="eastAsia" w:ascii="仿宋_GB2312" w:hAnsi="Times New Roman" w:cs="Times New Roman"/>
          <w:sz w:val="30"/>
          <w:szCs w:val="24"/>
          <w:lang w:eastAsia="zh-CN"/>
        </w:rPr>
        <w:t>实际</w:t>
      </w:r>
      <w:r>
        <w:rPr>
          <w:rFonts w:hint="eastAsia" w:ascii="仿宋_GB2312" w:hAnsi="Times New Roman" w:eastAsia="仿宋_GB2312" w:cs="Times New Roman"/>
          <w:sz w:val="30"/>
          <w:szCs w:val="24"/>
        </w:rPr>
        <w:t>完成值95%，完成率100%</w:t>
      </w:r>
      <w:r>
        <w:rPr>
          <w:rFonts w:hint="eastAsia" w:ascii="仿宋_GB2312" w:hAnsi="Times New Roman" w:cs="Times New Roman"/>
          <w:sz w:val="30"/>
          <w:szCs w:val="24"/>
          <w:lang w:eastAsia="zh-CN"/>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outlineLvl w:val="0"/>
        <w:rPr>
          <w:rFonts w:hint="eastAsia" w:ascii="仿宋_GB2312" w:hAnsi="Times New Roman" w:eastAsia="仿宋_GB2312" w:cs="Times New Roman"/>
          <w:sz w:val="30"/>
          <w:szCs w:val="24"/>
          <w:lang w:eastAsia="zh-CN"/>
        </w:rPr>
      </w:pPr>
      <w:r>
        <w:rPr>
          <w:rFonts w:hint="eastAsia" w:ascii="仿宋_GB2312" w:hAnsi="Times New Roman" w:cs="Times New Roman"/>
          <w:sz w:val="30"/>
          <w:szCs w:val="24"/>
          <w:lang w:eastAsia="zh-CN"/>
        </w:rPr>
        <w:t>无生态效益指标。</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outlineLvl w:val="0"/>
        <w:rPr>
          <w:rFonts w:hint="eastAsia" w:ascii="仿宋_GB2312" w:hAnsi="Times New Roman" w:eastAsia="仿宋_GB2312" w:cs="Times New Roman"/>
          <w:sz w:val="30"/>
          <w:szCs w:val="24"/>
          <w:lang w:eastAsia="zh-CN"/>
        </w:rPr>
      </w:pPr>
      <w:r>
        <w:rPr>
          <w:rFonts w:hint="eastAsia" w:ascii="仿宋_GB2312" w:hAnsi="Times New Roman" w:eastAsia="仿宋_GB2312" w:cs="Times New Roman"/>
          <w:sz w:val="30"/>
          <w:szCs w:val="24"/>
        </w:rPr>
        <w:t>可持续影响指标</w:t>
      </w:r>
      <w:r>
        <w:rPr>
          <w:rFonts w:hint="eastAsia" w:ascii="仿宋_GB2312" w:hAnsi="Times New Roman" w:eastAsia="仿宋_GB2312" w:cs="Times New Roman"/>
          <w:sz w:val="30"/>
          <w:szCs w:val="24"/>
          <w:lang w:eastAsia="zh-CN"/>
        </w:rPr>
        <w:t>：</w:t>
      </w:r>
      <w:r>
        <w:rPr>
          <w:rFonts w:hint="eastAsia" w:ascii="仿宋_GB2312" w:hAnsi="Times New Roman" w:eastAsia="仿宋_GB2312" w:cs="Times New Roman"/>
          <w:sz w:val="30"/>
          <w:szCs w:val="24"/>
        </w:rPr>
        <w:t>审计</w:t>
      </w:r>
      <w:r>
        <w:rPr>
          <w:rFonts w:hint="eastAsia" w:ascii="仿宋_GB2312" w:hAnsi="Times New Roman" w:eastAsia="仿宋_GB2312" w:cs="Times New Roman"/>
          <w:sz w:val="30"/>
          <w:szCs w:val="24"/>
          <w:lang w:eastAsia="zh-CN"/>
        </w:rPr>
        <w:t>委托项目</w:t>
      </w:r>
      <w:r>
        <w:rPr>
          <w:rFonts w:hint="eastAsia" w:ascii="仿宋_GB2312" w:hAnsi="Times New Roman" w:eastAsia="仿宋_GB2312" w:cs="Times New Roman"/>
          <w:sz w:val="30"/>
          <w:szCs w:val="24"/>
        </w:rPr>
        <w:t>持续期指标值1年，</w:t>
      </w:r>
      <w:r>
        <w:rPr>
          <w:rFonts w:hint="eastAsia" w:ascii="仿宋_GB2312" w:hAnsi="Times New Roman" w:cs="Times New Roman"/>
          <w:sz w:val="30"/>
          <w:szCs w:val="24"/>
          <w:lang w:eastAsia="zh-CN"/>
        </w:rPr>
        <w:t>实际</w:t>
      </w:r>
      <w:r>
        <w:rPr>
          <w:rFonts w:hint="eastAsia" w:ascii="仿宋_GB2312" w:hAnsi="Times New Roman" w:eastAsia="仿宋_GB2312" w:cs="Times New Roman"/>
          <w:sz w:val="30"/>
          <w:szCs w:val="24"/>
        </w:rPr>
        <w:t>完成值1年，完成率100%</w:t>
      </w:r>
      <w:r>
        <w:rPr>
          <w:rFonts w:hint="eastAsia" w:ascii="仿宋_GB2312" w:hAnsi="Times New Roman" w:cs="Times New Roman"/>
          <w:sz w:val="30"/>
          <w:szCs w:val="24"/>
          <w:lang w:eastAsia="zh-CN"/>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outlineLvl w:val="0"/>
        <w:rPr>
          <w:rFonts w:hint="eastAsia" w:ascii="仿宋_GB2312" w:hAnsi="Times New Roman" w:eastAsia="仿宋_GB2312" w:cs="Times New Roman"/>
          <w:sz w:val="30"/>
          <w:szCs w:val="24"/>
        </w:rPr>
      </w:pPr>
      <w:r>
        <w:rPr>
          <w:rFonts w:hint="eastAsia" w:ascii="仿宋_GB2312" w:hAnsi="Times New Roman" w:eastAsia="仿宋_GB2312" w:cs="Times New Roman"/>
          <w:sz w:val="30"/>
          <w:szCs w:val="24"/>
        </w:rPr>
        <w:t>截止2020年12月31日，根据设定社会效益指标已全部完成，得分</w:t>
      </w:r>
      <w:r>
        <w:rPr>
          <w:rFonts w:hint="eastAsia" w:ascii="仿宋_GB2312" w:hAnsi="Times New Roman" w:eastAsia="仿宋_GB2312" w:cs="Times New Roman"/>
          <w:sz w:val="30"/>
          <w:szCs w:val="24"/>
          <w:lang w:eastAsia="zh-CN"/>
        </w:rPr>
        <w:t>1</w:t>
      </w:r>
      <w:r>
        <w:rPr>
          <w:rFonts w:hint="eastAsia" w:ascii="仿宋_GB2312" w:hAnsi="Times New Roman" w:eastAsia="仿宋_GB2312" w:cs="Times New Roman"/>
          <w:sz w:val="30"/>
          <w:szCs w:val="24"/>
        </w:rPr>
        <w:t>5分；根据设定</w:t>
      </w:r>
      <w:r>
        <w:rPr>
          <w:rFonts w:hint="eastAsia" w:ascii="仿宋_GB2312" w:hAnsi="Times New Roman" w:eastAsia="仿宋_GB2312" w:cs="Times New Roman"/>
          <w:sz w:val="30"/>
          <w:szCs w:val="24"/>
          <w:lang w:eastAsia="zh-CN"/>
        </w:rPr>
        <w:t>经济、</w:t>
      </w:r>
      <w:r>
        <w:rPr>
          <w:rFonts w:hint="eastAsia" w:ascii="仿宋_GB2312" w:hAnsi="Times New Roman" w:eastAsia="仿宋_GB2312" w:cs="Times New Roman"/>
          <w:sz w:val="30"/>
          <w:szCs w:val="24"/>
        </w:rPr>
        <w:t>生态效益指标无，得分0分；根据设定可持续影响指标已全部完成，得分</w:t>
      </w:r>
      <w:r>
        <w:rPr>
          <w:rFonts w:hint="eastAsia" w:ascii="仿宋_GB2312" w:hAnsi="Times New Roman" w:eastAsia="仿宋_GB2312" w:cs="Times New Roman"/>
          <w:sz w:val="30"/>
          <w:szCs w:val="24"/>
          <w:lang w:eastAsia="zh-CN"/>
        </w:rPr>
        <w:t>15</w:t>
      </w:r>
      <w:r>
        <w:rPr>
          <w:rFonts w:hint="eastAsia" w:ascii="仿宋_GB2312" w:hAnsi="Times New Roman" w:eastAsia="仿宋_GB2312" w:cs="Times New Roman"/>
          <w:sz w:val="30"/>
          <w:szCs w:val="24"/>
        </w:rPr>
        <w:t>分；项目效益情况合计得分</w:t>
      </w:r>
      <w:r>
        <w:rPr>
          <w:rFonts w:hint="eastAsia" w:ascii="仿宋_GB2312" w:hAnsi="Times New Roman" w:eastAsia="仿宋_GB2312" w:cs="Times New Roman"/>
          <w:sz w:val="30"/>
          <w:szCs w:val="24"/>
          <w:lang w:eastAsia="zh-CN"/>
        </w:rPr>
        <w:t>30</w:t>
      </w:r>
      <w:r>
        <w:rPr>
          <w:rFonts w:hint="eastAsia" w:ascii="仿宋_GB2312" w:hAnsi="Times New Roman" w:eastAsia="仿宋_GB2312" w:cs="Times New Roman"/>
          <w:sz w:val="30"/>
          <w:szCs w:val="24"/>
        </w:rPr>
        <w:t>分。</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outlineLvl w:val="0"/>
        <w:rPr>
          <w:rFonts w:hint="eastAsia" w:ascii="仿宋_GB2312" w:hAnsi="Times New Roman" w:eastAsia="仿宋_GB2312"/>
          <w:sz w:val="30"/>
          <w:szCs w:val="24"/>
          <w:highlight w:val="yellow"/>
        </w:rPr>
      </w:pPr>
      <w:r>
        <w:rPr>
          <w:rFonts w:hint="eastAsia" w:ascii="仿宋_GB2312" w:hAnsi="Times New Roman" w:eastAsia="仿宋_GB2312" w:cs="Times New Roman"/>
          <w:sz w:val="30"/>
          <w:szCs w:val="24"/>
        </w:rPr>
        <w:t>（五）满意度情况</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outlineLvl w:val="0"/>
        <w:rPr>
          <w:rFonts w:hint="eastAsia" w:ascii="仿宋_GB2312" w:hAnsi="Times New Roman" w:eastAsia="仿宋_GB2312" w:cs="Times New Roman"/>
          <w:sz w:val="30"/>
          <w:szCs w:val="24"/>
          <w:lang w:eastAsia="zh-CN"/>
        </w:rPr>
      </w:pPr>
      <w:r>
        <w:rPr>
          <w:rFonts w:hint="eastAsia" w:ascii="仿宋_GB2312" w:hAnsi="Times New Roman" w:eastAsia="仿宋_GB2312" w:cs="Times New Roman"/>
          <w:sz w:val="30"/>
          <w:szCs w:val="24"/>
        </w:rPr>
        <w:t>服务对象满意度指标：建设单位满意度指标值90%，</w:t>
      </w:r>
      <w:r>
        <w:rPr>
          <w:rFonts w:hint="eastAsia" w:ascii="仿宋_GB2312" w:hAnsi="Times New Roman" w:cs="Times New Roman"/>
          <w:sz w:val="30"/>
          <w:szCs w:val="24"/>
          <w:lang w:eastAsia="zh-CN"/>
        </w:rPr>
        <w:t>实际</w:t>
      </w:r>
      <w:r>
        <w:rPr>
          <w:rFonts w:hint="eastAsia" w:ascii="仿宋_GB2312" w:hAnsi="Times New Roman" w:eastAsia="仿宋_GB2312" w:cs="Times New Roman"/>
          <w:sz w:val="30"/>
          <w:szCs w:val="24"/>
        </w:rPr>
        <w:t>完成值9</w:t>
      </w:r>
      <w:r>
        <w:rPr>
          <w:rFonts w:hint="eastAsia" w:ascii="仿宋_GB2312" w:hAnsi="Times New Roman" w:eastAsia="仿宋_GB2312" w:cs="Times New Roman"/>
          <w:sz w:val="30"/>
          <w:szCs w:val="24"/>
          <w:lang w:eastAsia="zh-CN"/>
        </w:rPr>
        <w:t>5</w:t>
      </w:r>
      <w:r>
        <w:rPr>
          <w:rFonts w:hint="eastAsia" w:ascii="仿宋_GB2312" w:hAnsi="Times New Roman" w:eastAsia="仿宋_GB2312" w:cs="Times New Roman"/>
          <w:sz w:val="30"/>
          <w:szCs w:val="24"/>
        </w:rPr>
        <w:t>%，完成率100%</w:t>
      </w:r>
      <w:r>
        <w:rPr>
          <w:rFonts w:hint="eastAsia" w:ascii="仿宋_GB2312" w:hAnsi="Times New Roman" w:cs="Times New Roman"/>
          <w:sz w:val="30"/>
          <w:szCs w:val="24"/>
          <w:lang w:eastAsia="zh-CN"/>
        </w:rPr>
        <w:t>；</w:t>
      </w:r>
      <w:r>
        <w:rPr>
          <w:rFonts w:hint="eastAsia" w:ascii="仿宋_GB2312" w:hAnsi="Times New Roman" w:eastAsia="仿宋_GB2312" w:cs="Times New Roman"/>
          <w:sz w:val="30"/>
          <w:szCs w:val="24"/>
        </w:rPr>
        <w:t>委托单位满意度指标值90%，</w:t>
      </w:r>
      <w:r>
        <w:rPr>
          <w:rFonts w:hint="eastAsia" w:ascii="仿宋_GB2312" w:hAnsi="Times New Roman" w:cs="Times New Roman"/>
          <w:sz w:val="30"/>
          <w:szCs w:val="24"/>
          <w:lang w:eastAsia="zh-CN"/>
        </w:rPr>
        <w:t>实际</w:t>
      </w:r>
      <w:r>
        <w:rPr>
          <w:rFonts w:hint="eastAsia" w:ascii="仿宋_GB2312" w:hAnsi="Times New Roman" w:eastAsia="仿宋_GB2312" w:cs="Times New Roman"/>
          <w:sz w:val="30"/>
          <w:szCs w:val="24"/>
        </w:rPr>
        <w:t>完成值9</w:t>
      </w:r>
      <w:r>
        <w:rPr>
          <w:rFonts w:hint="eastAsia" w:ascii="仿宋_GB2312" w:hAnsi="Times New Roman" w:eastAsia="仿宋_GB2312" w:cs="Times New Roman"/>
          <w:sz w:val="30"/>
          <w:szCs w:val="24"/>
          <w:lang w:eastAsia="zh-CN"/>
        </w:rPr>
        <w:t>5</w:t>
      </w:r>
      <w:r>
        <w:rPr>
          <w:rFonts w:hint="eastAsia" w:ascii="仿宋_GB2312" w:hAnsi="Times New Roman" w:eastAsia="仿宋_GB2312" w:cs="Times New Roman"/>
          <w:sz w:val="30"/>
          <w:szCs w:val="24"/>
        </w:rPr>
        <w:t>%，完成率100%</w:t>
      </w:r>
      <w:r>
        <w:rPr>
          <w:rFonts w:hint="eastAsia" w:ascii="仿宋_GB2312" w:hAnsi="Times New Roman" w:cs="Times New Roman"/>
          <w:sz w:val="30"/>
          <w:szCs w:val="24"/>
          <w:lang w:eastAsia="zh-CN"/>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outlineLvl w:val="0"/>
        <w:rPr>
          <w:rFonts w:hint="eastAsia" w:ascii="仿宋_GB2312" w:hAnsi="Times New Roman" w:eastAsia="仿宋_GB2312" w:cs="Times New Roman"/>
          <w:sz w:val="30"/>
          <w:szCs w:val="24"/>
          <w:lang w:eastAsia="zh-CN"/>
        </w:rPr>
      </w:pPr>
      <w:r>
        <w:rPr>
          <w:rFonts w:hint="eastAsia" w:ascii="仿宋_GB2312" w:hAnsi="Times New Roman" w:eastAsia="仿宋_GB2312" w:cs="Times New Roman"/>
          <w:sz w:val="30"/>
          <w:szCs w:val="24"/>
        </w:rPr>
        <w:t>截止2020年12月31日，</w:t>
      </w:r>
      <w:r>
        <w:rPr>
          <w:rFonts w:hint="eastAsia" w:ascii="仿宋_GB2312" w:hAnsi="Times New Roman" w:eastAsia="仿宋_GB2312"/>
          <w:sz w:val="30"/>
          <w:szCs w:val="24"/>
        </w:rPr>
        <w:t>根据设定该项目满意度指标已达到预期成效，满意度情况得分10分。</w:t>
      </w:r>
    </w:p>
    <w:p>
      <w:pPr>
        <w:keepNext w:val="0"/>
        <w:keepLines w:val="0"/>
        <w:pageBreakBefore w:val="0"/>
        <w:numPr>
          <w:ilvl w:val="0"/>
          <w:numId w:val="5"/>
        </w:numPr>
        <w:kinsoku/>
        <w:wordWrap/>
        <w:overflowPunct/>
        <w:topLinePunct w:val="0"/>
        <w:autoSpaceDE/>
        <w:autoSpaceDN/>
        <w:bidi w:val="0"/>
        <w:adjustRightInd w:val="0"/>
        <w:snapToGrid w:val="0"/>
        <w:spacing w:line="560" w:lineRule="exact"/>
        <w:ind w:left="0" w:leftChars="0" w:firstLine="600" w:firstLineChars="200"/>
        <w:textAlignment w:val="auto"/>
        <w:outlineLvl w:val="0"/>
        <w:rPr>
          <w:rFonts w:hint="eastAsia" w:ascii="仿宋_GB2312" w:hAnsi="Times New Roman" w:eastAsia="仿宋_GB2312" w:cs="Times New Roman"/>
          <w:sz w:val="30"/>
          <w:szCs w:val="24"/>
          <w:highlight w:val="none"/>
        </w:rPr>
      </w:pPr>
      <w:r>
        <w:rPr>
          <w:rFonts w:hint="eastAsia" w:ascii="仿宋_GB2312" w:hAnsi="Times New Roman" w:eastAsia="仿宋_GB2312" w:cs="Times New Roman"/>
          <w:sz w:val="30"/>
          <w:szCs w:val="24"/>
          <w:highlight w:val="none"/>
        </w:rPr>
        <w:t>预算执行进度与绩效指标偏差</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outlineLvl w:val="0"/>
        <w:rPr>
          <w:rFonts w:hint="eastAsia" w:ascii="仿宋_GB2312" w:hAnsi="Times New Roman" w:eastAsia="仿宋_GB2312" w:cs="Times New Roman"/>
          <w:kern w:val="2"/>
          <w:sz w:val="30"/>
          <w:szCs w:val="24"/>
          <w:lang w:val="zh-TW" w:eastAsia="zh-CN" w:bidi="ar-SA"/>
        </w:rPr>
      </w:pPr>
      <w:r>
        <w:rPr>
          <w:rFonts w:hint="eastAsia" w:ascii="仿宋_GB2312" w:hAnsi="Times New Roman" w:eastAsia="仿宋_GB2312" w:cs="Times New Roman"/>
          <w:sz w:val="30"/>
          <w:szCs w:val="24"/>
          <w:highlight w:val="none"/>
          <w:lang w:eastAsia="zh-CN"/>
        </w:rPr>
        <w:t>投资审计专项经费</w:t>
      </w:r>
      <w:r>
        <w:rPr>
          <w:rFonts w:hint="eastAsia" w:ascii="仿宋_GB2312" w:hAnsi="Times New Roman" w:eastAsia="仿宋_GB2312" w:cs="Times New Roman"/>
          <w:sz w:val="30"/>
          <w:szCs w:val="24"/>
          <w:highlight w:val="none"/>
        </w:rPr>
        <w:t>预算执行进度100%，绩效指标执行进度</w:t>
      </w:r>
      <w:r>
        <w:rPr>
          <w:rFonts w:hint="eastAsia" w:ascii="仿宋_GB2312" w:hAnsi="Times New Roman" w:cs="Times New Roman"/>
          <w:sz w:val="30"/>
          <w:szCs w:val="24"/>
          <w:highlight w:val="none"/>
          <w:lang w:val="en-US" w:eastAsia="zh-CN"/>
        </w:rPr>
        <w:t>97.15</w:t>
      </w:r>
      <w:r>
        <w:rPr>
          <w:rFonts w:hint="eastAsia" w:ascii="仿宋_GB2312" w:hAnsi="Times New Roman" w:eastAsia="仿宋_GB2312" w:cs="Times New Roman"/>
          <w:sz w:val="30"/>
          <w:szCs w:val="24"/>
          <w:highlight w:val="none"/>
        </w:rPr>
        <w:t>%，偏差</w:t>
      </w:r>
      <w:r>
        <w:rPr>
          <w:rFonts w:hint="eastAsia" w:ascii="仿宋_GB2312" w:hAnsi="Times New Roman" w:cs="Times New Roman"/>
          <w:sz w:val="30"/>
          <w:szCs w:val="24"/>
          <w:highlight w:val="none"/>
          <w:lang w:val="en-US" w:eastAsia="zh-CN"/>
        </w:rPr>
        <w:t>2.85</w:t>
      </w:r>
      <w:r>
        <w:rPr>
          <w:rFonts w:hint="eastAsia" w:ascii="仿宋_GB2312" w:hAnsi="Times New Roman" w:eastAsia="仿宋_GB2312" w:cs="Times New Roman"/>
          <w:kern w:val="2"/>
          <w:sz w:val="30"/>
          <w:szCs w:val="24"/>
          <w:lang w:val="zh-TW" w:eastAsia="zh-TW" w:bidi="ar-SA"/>
        </w:rPr>
        <w:t>%。偏差存在原因：</w:t>
      </w:r>
      <w:r>
        <w:rPr>
          <w:rFonts w:hint="eastAsia" w:ascii="仿宋_GB2312" w:hAnsi="Times New Roman" w:eastAsia="仿宋_GB2312" w:cs="Times New Roman"/>
          <w:kern w:val="2"/>
          <w:sz w:val="30"/>
          <w:szCs w:val="24"/>
          <w:lang w:val="zh-TW" w:eastAsia="zh-CN" w:bidi="ar-SA"/>
        </w:rPr>
        <w:t>控制预算</w:t>
      </w:r>
      <w:r>
        <w:rPr>
          <w:rFonts w:hint="eastAsia" w:ascii="仿宋_GB2312" w:cs="Times New Roman"/>
          <w:kern w:val="2"/>
          <w:sz w:val="30"/>
          <w:szCs w:val="24"/>
          <w:lang w:val="zh-TW" w:eastAsia="zh-CN" w:bidi="ar-SA"/>
        </w:rPr>
        <w:t>支出</w:t>
      </w:r>
      <w:r>
        <w:rPr>
          <w:rFonts w:hint="eastAsia" w:ascii="仿宋_GB2312" w:hAnsi="Times New Roman" w:eastAsia="仿宋_GB2312" w:cs="Times New Roman"/>
          <w:kern w:val="2"/>
          <w:sz w:val="30"/>
          <w:szCs w:val="24"/>
          <w:lang w:val="zh-TW" w:eastAsia="zh-CN" w:bidi="ar-SA"/>
        </w:rPr>
        <w:t>，节约审计成本</w:t>
      </w:r>
      <w:r>
        <w:rPr>
          <w:rFonts w:hint="eastAsia" w:ascii="仿宋_GB2312" w:hAnsi="Times New Roman" w:eastAsia="仿宋_GB2312" w:cs="Times New Roman"/>
          <w:kern w:val="2"/>
          <w:sz w:val="30"/>
          <w:szCs w:val="24"/>
          <w:lang w:val="zh-TW" w:eastAsia="zh-TW" w:bidi="ar-SA"/>
        </w:rPr>
        <w:t>。</w:t>
      </w:r>
    </w:p>
    <w:p>
      <w:pPr>
        <w:keepNext w:val="0"/>
        <w:keepLines w:val="0"/>
        <w:pageBreakBefore w:val="0"/>
        <w:numPr>
          <w:ilvl w:val="0"/>
          <w:numId w:val="6"/>
        </w:numPr>
        <w:kinsoku/>
        <w:wordWrap/>
        <w:overflowPunct/>
        <w:topLinePunct w:val="0"/>
        <w:autoSpaceDE/>
        <w:autoSpaceDN/>
        <w:bidi w:val="0"/>
        <w:adjustRightInd w:val="0"/>
        <w:snapToGrid w:val="0"/>
        <w:spacing w:line="560" w:lineRule="exact"/>
        <w:ind w:left="0" w:leftChars="0" w:firstLine="600" w:firstLineChars="200"/>
        <w:textAlignment w:val="auto"/>
        <w:rPr>
          <w:rFonts w:ascii="黑体" w:hAnsi="黑体" w:eastAsia="黑体"/>
        </w:rPr>
      </w:pPr>
      <w:r>
        <w:rPr>
          <w:rFonts w:hint="eastAsia" w:ascii="黑体" w:hAnsi="黑体" w:eastAsia="黑体"/>
        </w:rPr>
        <w:t>主要经验及做法、存在的问题及原因分析</w:t>
      </w:r>
    </w:p>
    <w:p>
      <w:pPr>
        <w:pStyle w:val="12"/>
        <w:keepNext w:val="0"/>
        <w:keepLines w:val="0"/>
        <w:pageBreakBefore w:val="0"/>
        <w:kinsoku/>
        <w:wordWrap/>
        <w:overflowPunct/>
        <w:topLinePunct w:val="0"/>
        <w:autoSpaceDE/>
        <w:autoSpaceDN/>
        <w:bidi w:val="0"/>
        <w:adjustRightInd w:val="0"/>
        <w:snapToGrid w:val="0"/>
        <w:spacing w:before="0" w:after="0" w:line="560" w:lineRule="exact"/>
        <w:ind w:left="0" w:leftChars="0" w:firstLine="600" w:firstLineChars="200"/>
        <w:textAlignment w:val="auto"/>
        <w:rPr>
          <w:rFonts w:ascii="仿宋_GB2312"/>
          <w:b w:val="0"/>
          <w:snapToGrid/>
          <w:kern w:val="2"/>
          <w:szCs w:val="24"/>
        </w:rPr>
      </w:pPr>
      <w:r>
        <w:rPr>
          <w:rFonts w:hint="eastAsia" w:ascii="仿宋_GB2312"/>
          <w:b w:val="0"/>
          <w:snapToGrid/>
          <w:kern w:val="2"/>
          <w:szCs w:val="24"/>
        </w:rPr>
        <w:t>（一）主要经验及做法</w:t>
      </w:r>
    </w:p>
    <w:p>
      <w:pPr>
        <w:pStyle w:val="13"/>
        <w:keepNext w:val="0"/>
        <w:keepLines w:val="0"/>
        <w:pageBreakBefore w:val="0"/>
        <w:kinsoku/>
        <w:wordWrap/>
        <w:overflowPunct/>
        <w:topLinePunct w:val="0"/>
        <w:autoSpaceDE/>
        <w:autoSpaceDN/>
        <w:bidi w:val="0"/>
        <w:adjustRightInd w:val="0"/>
        <w:snapToGrid w:val="0"/>
        <w:spacing w:line="560" w:lineRule="exact"/>
        <w:ind w:left="0" w:leftChars="0" w:firstLine="640"/>
        <w:textAlignment w:val="auto"/>
        <w:rPr>
          <w:rFonts w:hint="eastAsia" w:ascii="仿宋_GB2312" w:hAnsi="Times New Roman" w:eastAsia="仿宋_GB2312" w:cs="Times New Roman"/>
          <w:kern w:val="2"/>
          <w:sz w:val="30"/>
          <w:szCs w:val="24"/>
          <w:lang w:val="zh-TW" w:eastAsia="zh-TW"/>
        </w:rPr>
      </w:pPr>
      <w:r>
        <w:rPr>
          <w:rFonts w:hint="eastAsia" w:ascii="仿宋_GB2312" w:hAnsi="Times New Roman" w:eastAsia="仿宋_GB2312" w:cs="Times New Roman"/>
          <w:kern w:val="2"/>
          <w:sz w:val="30"/>
          <w:szCs w:val="24"/>
          <w:lang w:val="zh-TW" w:eastAsia="zh-TW"/>
        </w:rPr>
        <w:t>1、严格执行财政部门下发的经费管理要求进行开支和管理，按照年初各部门详细填列预算开支项目，严格遵守节约制度，落实地方财政预算管理、采购管理、财务管理等相关管理制度。</w:t>
      </w:r>
    </w:p>
    <w:p>
      <w:pPr>
        <w:pStyle w:val="13"/>
        <w:keepNext w:val="0"/>
        <w:keepLines w:val="0"/>
        <w:pageBreakBefore w:val="0"/>
        <w:kinsoku/>
        <w:wordWrap/>
        <w:overflowPunct/>
        <w:topLinePunct w:val="0"/>
        <w:autoSpaceDE/>
        <w:autoSpaceDN/>
        <w:bidi w:val="0"/>
        <w:adjustRightInd w:val="0"/>
        <w:snapToGrid w:val="0"/>
        <w:spacing w:line="560" w:lineRule="exact"/>
        <w:ind w:left="0" w:leftChars="0" w:firstLine="640"/>
        <w:textAlignment w:val="auto"/>
        <w:rPr>
          <w:rFonts w:hint="eastAsia" w:ascii="仿宋_GB2312" w:hAnsi="Times New Roman" w:eastAsia="仿宋_GB2312" w:cs="Times New Roman"/>
          <w:kern w:val="2"/>
          <w:sz w:val="30"/>
          <w:szCs w:val="24"/>
          <w:lang w:val="zh-TW" w:eastAsia="zh-TW"/>
        </w:rPr>
      </w:pPr>
      <w:r>
        <w:rPr>
          <w:rFonts w:hint="eastAsia" w:ascii="仿宋_GB2312" w:hAnsi="Times New Roman" w:eastAsia="仿宋_GB2312" w:cs="Times New Roman"/>
          <w:kern w:val="2"/>
          <w:sz w:val="30"/>
          <w:szCs w:val="24"/>
          <w:lang w:val="zh-TW" w:eastAsia="zh-TW"/>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pPr>
        <w:pStyle w:val="13"/>
        <w:keepNext w:val="0"/>
        <w:keepLines w:val="0"/>
        <w:pageBreakBefore w:val="0"/>
        <w:kinsoku/>
        <w:wordWrap/>
        <w:overflowPunct/>
        <w:topLinePunct w:val="0"/>
        <w:autoSpaceDE/>
        <w:autoSpaceDN/>
        <w:bidi w:val="0"/>
        <w:adjustRightInd w:val="0"/>
        <w:snapToGrid w:val="0"/>
        <w:spacing w:line="560" w:lineRule="exact"/>
        <w:ind w:left="0" w:leftChars="0" w:firstLine="640"/>
        <w:textAlignment w:val="auto"/>
        <w:rPr>
          <w:rFonts w:hint="eastAsia" w:ascii="仿宋_GB2312" w:hAnsi="Times New Roman" w:eastAsia="仿宋_GB2312" w:cs="Times New Roman"/>
          <w:kern w:val="2"/>
          <w:sz w:val="30"/>
          <w:szCs w:val="24"/>
          <w:lang w:val="zh-TW" w:eastAsia="zh-TW"/>
        </w:rPr>
      </w:pPr>
      <w:r>
        <w:rPr>
          <w:rFonts w:hint="eastAsia" w:ascii="仿宋_GB2312" w:hAnsi="Times New Roman" w:eastAsia="仿宋_GB2312" w:cs="Times New Roman"/>
          <w:kern w:val="2"/>
          <w:sz w:val="30"/>
          <w:szCs w:val="24"/>
          <w:lang w:val="zh-TW" w:eastAsia="zh-TW"/>
        </w:rPr>
        <w:t>3、进一步完善绩效评价、监督机制等方面的制度建设，扩大绩效评价的范围，对项目实施效果进行绩效跟踪和多方评估。对部门预算安排的项目支出，项目实施单位除提供相关依据外，必须报送绩效报告。</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outlineLvl w:val="0"/>
        <w:rPr>
          <w:rFonts w:hint="eastAsia" w:ascii="仿宋_GB2312" w:hAnsi="Times New Roman" w:eastAsia="仿宋_GB2312" w:cs="Times New Roman"/>
          <w:sz w:val="30"/>
          <w:szCs w:val="24"/>
          <w:highlight w:val="none"/>
        </w:rPr>
      </w:pPr>
      <w:r>
        <w:rPr>
          <w:rFonts w:hint="eastAsia" w:ascii="仿宋_GB2312" w:hAnsi="Times New Roman" w:eastAsia="仿宋_GB2312" w:cs="Times New Roman"/>
          <w:sz w:val="30"/>
          <w:szCs w:val="24"/>
          <w:highlight w:val="none"/>
        </w:rPr>
        <w:t>（二）存在问题及原因分析</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outlineLvl w:val="0"/>
        <w:rPr>
          <w:rFonts w:hint="eastAsia" w:ascii="仿宋_GB2312" w:hAnsi="Times New Roman" w:eastAsia="仿宋_GB2312" w:cs="Times New Roman"/>
          <w:sz w:val="30"/>
          <w:szCs w:val="24"/>
          <w:lang w:val="zh-TW" w:eastAsia="zh-TW"/>
        </w:rPr>
      </w:pPr>
      <w:r>
        <w:rPr>
          <w:rFonts w:hint="eastAsia" w:ascii="仿宋_GB2312" w:hAnsi="Times New Roman" w:eastAsia="仿宋_GB2312" w:cs="Times New Roman"/>
          <w:sz w:val="30"/>
          <w:szCs w:val="24"/>
          <w:lang w:val="zh-TW" w:eastAsia="zh-TW"/>
        </w:rPr>
        <w:t>预算绩效管理有待提升</w:t>
      </w:r>
      <w:r>
        <w:rPr>
          <w:rFonts w:hint="eastAsia" w:ascii="仿宋_GB2312" w:hAnsi="Times New Roman" w:eastAsia="仿宋_GB2312" w:cs="Times New Roman"/>
          <w:sz w:val="30"/>
          <w:szCs w:val="24"/>
          <w:lang w:val="zh-TW"/>
        </w:rPr>
        <w:t>。</w:t>
      </w:r>
      <w:r>
        <w:rPr>
          <w:rFonts w:hint="eastAsia" w:ascii="仿宋_GB2312" w:hAnsi="Times New Roman" w:eastAsia="仿宋_GB2312" w:cs="Times New Roman"/>
          <w:sz w:val="30"/>
          <w:szCs w:val="24"/>
          <w:lang w:val="zh-TW" w:eastAsia="zh-TW"/>
        </w:rPr>
        <w:t>预算绩效管理水平不够，目标约束力不够强，绩效理念树立尚不牢固，自评表中指标完成值书写不规范，报告质量有待提高。</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ascii="黑体" w:hAnsi="黑体" w:eastAsia="黑体"/>
          <w:sz w:val="32"/>
          <w:szCs w:val="32"/>
        </w:rPr>
      </w:pPr>
      <w:r>
        <w:rPr>
          <w:rFonts w:hint="eastAsia" w:ascii="黑体" w:hAnsi="黑体" w:eastAsia="黑体"/>
          <w:sz w:val="32"/>
          <w:szCs w:val="32"/>
        </w:rPr>
        <w:t>六、有关建议</w:t>
      </w:r>
    </w:p>
    <w:p>
      <w:pPr>
        <w:pStyle w:val="13"/>
        <w:keepNext w:val="0"/>
        <w:keepLines w:val="0"/>
        <w:pageBreakBefore w:val="0"/>
        <w:kinsoku/>
        <w:wordWrap/>
        <w:overflowPunct/>
        <w:topLinePunct w:val="0"/>
        <w:autoSpaceDE/>
        <w:autoSpaceDN/>
        <w:bidi w:val="0"/>
        <w:adjustRightInd w:val="0"/>
        <w:snapToGrid w:val="0"/>
        <w:spacing w:line="560" w:lineRule="exact"/>
        <w:ind w:left="0" w:leftChars="0" w:firstLine="640"/>
        <w:textAlignment w:val="auto"/>
        <w:rPr>
          <w:rFonts w:hint="eastAsia" w:ascii="仿宋_GB2312" w:hAnsi="Times New Roman" w:eastAsia="仿宋_GB2312" w:cs="Times New Roman"/>
          <w:kern w:val="2"/>
          <w:sz w:val="30"/>
          <w:szCs w:val="24"/>
          <w:lang w:val="zh-TW" w:eastAsia="zh-TW"/>
        </w:rPr>
      </w:pPr>
      <w:r>
        <w:rPr>
          <w:rFonts w:hint="eastAsia" w:ascii="仿宋_GB2312" w:hAnsi="Times New Roman" w:eastAsia="仿宋_GB2312" w:cs="Times New Roman"/>
          <w:kern w:val="2"/>
          <w:sz w:val="30"/>
          <w:szCs w:val="24"/>
          <w:lang w:val="zh-TW" w:eastAsia="zh-TW"/>
        </w:rPr>
        <w:t>1.预算安排和执行方面建议</w:t>
      </w:r>
    </w:p>
    <w:p>
      <w:pPr>
        <w:pStyle w:val="13"/>
        <w:keepNext w:val="0"/>
        <w:keepLines w:val="0"/>
        <w:pageBreakBefore w:val="0"/>
        <w:kinsoku/>
        <w:wordWrap/>
        <w:overflowPunct/>
        <w:topLinePunct w:val="0"/>
        <w:autoSpaceDE/>
        <w:autoSpaceDN/>
        <w:bidi w:val="0"/>
        <w:adjustRightInd w:val="0"/>
        <w:snapToGrid w:val="0"/>
        <w:spacing w:line="560" w:lineRule="exact"/>
        <w:ind w:left="0" w:leftChars="0" w:firstLine="640"/>
        <w:textAlignment w:val="auto"/>
        <w:rPr>
          <w:rFonts w:hint="eastAsia" w:ascii="仿宋_GB2312" w:hAnsi="Times New Roman" w:eastAsia="仿宋_GB2312" w:cs="Times New Roman"/>
          <w:kern w:val="2"/>
          <w:sz w:val="30"/>
          <w:szCs w:val="24"/>
          <w:lang w:val="zh-TW" w:eastAsia="zh-TW"/>
        </w:rPr>
      </w:pPr>
      <w:r>
        <w:rPr>
          <w:rFonts w:hint="eastAsia" w:ascii="仿宋_GB2312" w:hAnsi="Times New Roman" w:eastAsia="仿宋_GB2312" w:cs="Times New Roman"/>
          <w:kern w:val="2"/>
          <w:sz w:val="30"/>
          <w:szCs w:val="24"/>
          <w:lang w:val="zh-TW" w:eastAsia="zh-TW"/>
        </w:rPr>
        <w:t>严格按照预算管理规定进行立项确认。我单位办公室负责预算的编制、执行和上报等工作。在项目预算编制过程中, 严格按照财政部门的相关要求坚持对项目先进行论证,结合论证情况编制预算, 在预算安排中重点刚性支出,最后由财政部门结合我区财力情况进行预算安排。</w:t>
      </w:r>
    </w:p>
    <w:p>
      <w:pPr>
        <w:pStyle w:val="13"/>
        <w:keepNext w:val="0"/>
        <w:keepLines w:val="0"/>
        <w:pageBreakBefore w:val="0"/>
        <w:kinsoku/>
        <w:wordWrap/>
        <w:overflowPunct/>
        <w:topLinePunct w:val="0"/>
        <w:autoSpaceDE/>
        <w:autoSpaceDN/>
        <w:bidi w:val="0"/>
        <w:adjustRightInd w:val="0"/>
        <w:snapToGrid w:val="0"/>
        <w:spacing w:line="560" w:lineRule="exact"/>
        <w:ind w:left="0" w:leftChars="0" w:firstLine="640"/>
        <w:textAlignment w:val="auto"/>
        <w:rPr>
          <w:rFonts w:hint="eastAsia" w:ascii="仿宋_GB2312" w:hAnsi="Times New Roman" w:eastAsia="仿宋_GB2312" w:cs="Times New Roman"/>
          <w:kern w:val="2"/>
          <w:sz w:val="30"/>
          <w:szCs w:val="24"/>
          <w:lang w:val="zh-TW" w:eastAsia="zh-TW"/>
        </w:rPr>
      </w:pPr>
      <w:r>
        <w:rPr>
          <w:rFonts w:hint="eastAsia" w:ascii="仿宋_GB2312" w:hAnsi="Times New Roman" w:eastAsia="仿宋_GB2312" w:cs="Times New Roman"/>
          <w:kern w:val="2"/>
          <w:sz w:val="30"/>
          <w:szCs w:val="24"/>
          <w:lang w:val="zh-TW" w:eastAsia="zh-TW"/>
        </w:rPr>
        <w:t>2.项目管理方面建议</w:t>
      </w:r>
    </w:p>
    <w:p>
      <w:pPr>
        <w:pStyle w:val="13"/>
        <w:keepNext w:val="0"/>
        <w:keepLines w:val="0"/>
        <w:pageBreakBefore w:val="0"/>
        <w:kinsoku/>
        <w:wordWrap/>
        <w:overflowPunct/>
        <w:topLinePunct w:val="0"/>
        <w:autoSpaceDE/>
        <w:autoSpaceDN/>
        <w:bidi w:val="0"/>
        <w:adjustRightInd w:val="0"/>
        <w:snapToGrid w:val="0"/>
        <w:spacing w:line="560" w:lineRule="exact"/>
        <w:ind w:left="0" w:leftChars="0" w:firstLine="640"/>
        <w:textAlignment w:val="auto"/>
        <w:rPr>
          <w:rFonts w:hint="eastAsia" w:ascii="仿宋_GB2312" w:hAnsi="Times New Roman" w:eastAsia="仿宋_GB2312" w:cs="Times New Roman"/>
          <w:kern w:val="2"/>
          <w:sz w:val="30"/>
          <w:szCs w:val="24"/>
          <w:lang w:val="zh-TW" w:eastAsia="zh-TW"/>
        </w:rPr>
      </w:pPr>
      <w:r>
        <w:rPr>
          <w:rFonts w:hint="eastAsia" w:ascii="仿宋_GB2312" w:hAnsi="Times New Roman" w:eastAsia="仿宋_GB2312" w:cs="Times New Roman"/>
          <w:kern w:val="2"/>
          <w:sz w:val="30"/>
          <w:szCs w:val="24"/>
          <w:lang w:val="zh-TW" w:eastAsia="zh-TW"/>
        </w:rPr>
        <w:t>建议及时调整和优化本单位后续项目和以后年度预算支出的方向和结构，合理配置资源，加强财务管理，完善项目管理办法，切实提高项目管理水平、资金使用效率和部门工作效率。要认真落实整改意见，不断提高预算管理水平。</w:t>
      </w:r>
    </w:p>
    <w:p>
      <w:pPr>
        <w:pStyle w:val="13"/>
        <w:keepNext w:val="0"/>
        <w:keepLines w:val="0"/>
        <w:pageBreakBefore w:val="0"/>
        <w:kinsoku/>
        <w:wordWrap/>
        <w:overflowPunct/>
        <w:topLinePunct w:val="0"/>
        <w:autoSpaceDE/>
        <w:autoSpaceDN/>
        <w:bidi w:val="0"/>
        <w:adjustRightInd w:val="0"/>
        <w:snapToGrid w:val="0"/>
        <w:spacing w:line="560" w:lineRule="exact"/>
        <w:ind w:left="0" w:leftChars="0" w:firstLine="640"/>
        <w:textAlignment w:val="auto"/>
        <w:rPr>
          <w:rFonts w:hint="eastAsia" w:ascii="仿宋_GB2312" w:hAnsi="Times New Roman" w:eastAsia="仿宋_GB2312" w:cs="Times New Roman"/>
          <w:kern w:val="2"/>
          <w:sz w:val="30"/>
          <w:szCs w:val="24"/>
          <w:lang w:val="zh-TW" w:eastAsia="zh-TW"/>
        </w:rPr>
      </w:pPr>
      <w:r>
        <w:rPr>
          <w:rFonts w:hint="eastAsia" w:ascii="仿宋_GB2312" w:hAnsi="Times New Roman" w:eastAsia="仿宋_GB2312" w:cs="Times New Roman"/>
          <w:kern w:val="2"/>
          <w:sz w:val="30"/>
          <w:szCs w:val="24"/>
          <w:lang w:val="zh-TW" w:eastAsia="zh-TW"/>
        </w:rPr>
        <w:t>3.资金管理方面建议</w:t>
      </w:r>
    </w:p>
    <w:p>
      <w:pPr>
        <w:pStyle w:val="13"/>
        <w:keepNext w:val="0"/>
        <w:keepLines w:val="0"/>
        <w:pageBreakBefore w:val="0"/>
        <w:kinsoku/>
        <w:wordWrap/>
        <w:overflowPunct/>
        <w:topLinePunct w:val="0"/>
        <w:autoSpaceDE/>
        <w:autoSpaceDN/>
        <w:bidi w:val="0"/>
        <w:adjustRightInd w:val="0"/>
        <w:snapToGrid w:val="0"/>
        <w:spacing w:line="560" w:lineRule="exact"/>
        <w:ind w:left="0" w:leftChars="0" w:firstLine="640"/>
        <w:textAlignment w:val="auto"/>
        <w:rPr>
          <w:rFonts w:hint="eastAsia" w:ascii="仿宋_GB2312" w:hAnsi="Times New Roman" w:eastAsia="仿宋_GB2312" w:cs="Times New Roman"/>
          <w:kern w:val="2"/>
          <w:sz w:val="30"/>
          <w:szCs w:val="24"/>
          <w:lang w:val="zh-TW" w:eastAsia="zh-TW"/>
        </w:rPr>
      </w:pPr>
      <w:r>
        <w:rPr>
          <w:rFonts w:hint="eastAsia" w:ascii="仿宋_GB2312" w:hAnsi="Times New Roman" w:eastAsia="仿宋_GB2312" w:cs="Times New Roman"/>
          <w:kern w:val="2"/>
          <w:sz w:val="30"/>
          <w:szCs w:val="24"/>
          <w:lang w:val="zh-TW" w:eastAsia="zh-TW"/>
        </w:rPr>
        <w:t>严格执行财政部门下发的经费管理要求进行开支和管理，按照年初部门详细填列预算开支项目，严格遵守节约制度，落实地方财政预算管理、采购管理、财务管理等相关管理制度。</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ascii="黑体" w:hAnsi="黑体" w:eastAsia="黑体"/>
          <w:bCs/>
          <w:sz w:val="32"/>
          <w:szCs w:val="32"/>
        </w:rPr>
      </w:pPr>
      <w:r>
        <w:rPr>
          <w:rFonts w:hint="eastAsia" w:ascii="黑体" w:hAnsi="黑体" w:eastAsia="黑体"/>
          <w:sz w:val="32"/>
          <w:szCs w:val="32"/>
        </w:rPr>
        <w:t>七、其他需要说明的问题</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ascii="仿宋" w:hAnsi="仿宋" w:eastAsia="仿宋"/>
          <w:sz w:val="32"/>
          <w:szCs w:val="32"/>
        </w:rPr>
      </w:pPr>
      <w:r>
        <w:rPr>
          <w:rFonts w:hint="eastAsia" w:ascii="仿宋" w:hAnsi="仿宋" w:eastAsia="仿宋"/>
          <w:sz w:val="32"/>
          <w:szCs w:val="32"/>
        </w:rPr>
        <w:t>无。</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黑体" w:hAnsi="黑体" w:eastAsia="黑体"/>
          <w:sz w:val="32"/>
          <w:szCs w:val="32"/>
          <w:lang w:val="zh-TW" w:eastAsia="zh-TW"/>
        </w:rPr>
      </w:pPr>
      <w:r>
        <w:rPr>
          <w:rFonts w:hint="eastAsia" w:ascii="黑体" w:hAnsi="黑体" w:eastAsia="黑体"/>
          <w:sz w:val="32"/>
          <w:szCs w:val="32"/>
          <w:lang w:val="zh-TW" w:eastAsia="zh-CN"/>
        </w:rPr>
        <w:t>八、</w:t>
      </w:r>
      <w:r>
        <w:rPr>
          <w:rFonts w:hint="eastAsia" w:ascii="黑体" w:hAnsi="黑体" w:eastAsia="黑体"/>
          <w:sz w:val="32"/>
          <w:szCs w:val="32"/>
          <w:lang w:val="zh-TW" w:eastAsia="zh-TW"/>
        </w:rPr>
        <w:t>附件</w:t>
      </w:r>
    </w:p>
    <w:p>
      <w:pPr>
        <w:keepNext w:val="0"/>
        <w:keepLines w:val="0"/>
        <w:pageBreakBefore w:val="0"/>
        <w:kinsoku/>
        <w:wordWrap/>
        <w:overflowPunct/>
        <w:topLinePunct w:val="0"/>
        <w:autoSpaceDE/>
        <w:autoSpaceDN/>
        <w:bidi w:val="0"/>
        <w:adjustRightInd w:val="0"/>
        <w:snapToGrid w:val="0"/>
        <w:spacing w:line="560" w:lineRule="exact"/>
        <w:ind w:left="0" w:leftChars="0" w:firstLine="600" w:firstLineChars="200"/>
        <w:textAlignment w:val="auto"/>
        <w:rPr>
          <w:rFonts w:hint="eastAsia" w:ascii="仿宋_GB2312" w:hAnsi="Times New Roman" w:eastAsia="仿宋_GB2312" w:cs="Times New Roman"/>
          <w:kern w:val="2"/>
          <w:sz w:val="30"/>
          <w:szCs w:val="24"/>
          <w:lang w:val="zh-TW" w:eastAsia="zh-TW" w:bidi="ar-SA"/>
        </w:rPr>
      </w:pPr>
      <w:r>
        <w:rPr>
          <w:rFonts w:hint="eastAsia" w:ascii="仿宋_GB2312" w:hAnsi="Times New Roman" w:eastAsia="仿宋_GB2312" w:cs="Times New Roman"/>
          <w:kern w:val="2"/>
          <w:sz w:val="30"/>
          <w:szCs w:val="24"/>
          <w:lang w:val="zh-TW" w:eastAsia="zh-TW" w:bidi="ar-SA"/>
        </w:rPr>
        <w:t>附件1《绩效评价指标体系》</w:t>
      </w:r>
    </w:p>
    <w:p>
      <w:pPr>
        <w:keepNext w:val="0"/>
        <w:keepLines w:val="0"/>
        <w:pageBreakBefore w:val="0"/>
        <w:kinsoku/>
        <w:wordWrap/>
        <w:overflowPunct/>
        <w:topLinePunct w:val="0"/>
        <w:autoSpaceDE/>
        <w:autoSpaceDN/>
        <w:bidi w:val="0"/>
        <w:spacing w:line="560" w:lineRule="exact"/>
        <w:ind w:left="0" w:leftChars="0" w:firstLine="2240" w:firstLineChars="700"/>
        <w:textAlignment w:val="auto"/>
        <w:rPr>
          <w:color w:val="000000"/>
          <w:sz w:val="32"/>
          <w:szCs w:val="32"/>
        </w:rPr>
      </w:pPr>
    </w:p>
    <w:p>
      <w:pPr>
        <w:keepNext w:val="0"/>
        <w:keepLines w:val="0"/>
        <w:pageBreakBefore w:val="0"/>
        <w:kinsoku/>
        <w:wordWrap/>
        <w:overflowPunct/>
        <w:topLinePunct w:val="0"/>
        <w:autoSpaceDE/>
        <w:autoSpaceDN/>
        <w:bidi w:val="0"/>
        <w:spacing w:line="560" w:lineRule="exact"/>
        <w:ind w:left="0" w:leftChars="0" w:firstLine="2240" w:firstLineChars="700"/>
        <w:textAlignment w:val="auto"/>
        <w:rPr>
          <w:color w:val="000000"/>
          <w:sz w:val="32"/>
          <w:szCs w:val="32"/>
        </w:rPr>
      </w:pPr>
    </w:p>
    <w:p>
      <w:pPr>
        <w:keepNext w:val="0"/>
        <w:keepLines w:val="0"/>
        <w:pageBreakBefore w:val="0"/>
        <w:kinsoku/>
        <w:wordWrap/>
        <w:overflowPunct/>
        <w:topLinePunct w:val="0"/>
        <w:autoSpaceDE/>
        <w:autoSpaceDN/>
        <w:bidi w:val="0"/>
        <w:spacing w:line="560" w:lineRule="exact"/>
        <w:ind w:left="0" w:leftChars="0" w:firstLine="2240" w:firstLineChars="700"/>
        <w:textAlignment w:val="auto"/>
        <w:rPr>
          <w:color w:val="000000"/>
          <w:sz w:val="32"/>
          <w:szCs w:val="32"/>
        </w:rPr>
      </w:pPr>
    </w:p>
    <w:p>
      <w:pPr>
        <w:keepNext w:val="0"/>
        <w:keepLines w:val="0"/>
        <w:pageBreakBefore w:val="0"/>
        <w:kinsoku/>
        <w:wordWrap/>
        <w:overflowPunct/>
        <w:topLinePunct w:val="0"/>
        <w:autoSpaceDE/>
        <w:autoSpaceDN/>
        <w:bidi w:val="0"/>
        <w:spacing w:line="560" w:lineRule="exact"/>
        <w:ind w:left="0" w:leftChars="0" w:firstLine="2240" w:firstLineChars="700"/>
        <w:textAlignment w:val="auto"/>
        <w:rPr>
          <w:color w:val="000000"/>
          <w:sz w:val="32"/>
          <w:szCs w:val="32"/>
        </w:rPr>
      </w:pPr>
    </w:p>
    <w:p>
      <w:pPr>
        <w:spacing w:line="500" w:lineRule="exact"/>
        <w:rPr>
          <w:rFonts w:ascii="仿宋_GB2312" w:hAnsi="Times New Roman" w:eastAsia="仿宋_GB2312"/>
          <w:sz w:val="30"/>
          <w:szCs w:val="24"/>
        </w:rPr>
      </w:pPr>
      <w:r>
        <w:rPr>
          <w:rFonts w:hint="eastAsia" w:ascii="仿宋_GB2312" w:hAnsi="Times New Roman" w:eastAsia="仿宋_GB2312"/>
          <w:sz w:val="30"/>
          <w:szCs w:val="24"/>
        </w:rPr>
        <w:t>附件1</w:t>
      </w:r>
    </w:p>
    <w:p>
      <w:pPr>
        <w:spacing w:line="500" w:lineRule="exact"/>
        <w:ind w:left="600" w:leftChars="200" w:firstLine="2240" w:firstLineChars="700"/>
        <w:rPr>
          <w:color w:val="000000"/>
          <w:sz w:val="32"/>
          <w:szCs w:val="32"/>
        </w:rPr>
      </w:pPr>
      <w:r>
        <w:rPr>
          <w:color w:val="000000"/>
          <w:sz w:val="32"/>
          <w:szCs w:val="32"/>
        </w:rPr>
        <w:t>绩效评价指标体系</w:t>
      </w:r>
    </w:p>
    <w:tbl>
      <w:tblPr>
        <w:tblStyle w:val="5"/>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noWrap w:val="0"/>
            <w:vAlign w:val="center"/>
          </w:tcPr>
          <w:p>
            <w:pPr>
              <w:widowControl/>
              <w:spacing w:line="0" w:lineRule="atLeast"/>
              <w:jc w:val="center"/>
              <w:rPr>
                <w:rFonts w:hint="eastAsia"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noWrap w:val="0"/>
            <w:vAlign w:val="center"/>
          </w:tcPr>
          <w:p>
            <w:pPr>
              <w:widowControl/>
              <w:spacing w:line="0" w:lineRule="atLeast"/>
              <w:jc w:val="center"/>
              <w:rPr>
                <w:rFonts w:hint="eastAsia"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noWrap w:val="0"/>
            <w:vAlign w:val="center"/>
          </w:tcPr>
          <w:p>
            <w:pPr>
              <w:widowControl/>
              <w:spacing w:line="0" w:lineRule="atLeast"/>
              <w:jc w:val="center"/>
              <w:rPr>
                <w:rFonts w:hint="eastAsia"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noWrap w:val="0"/>
            <w:vAlign w:val="top"/>
          </w:tcPr>
          <w:p>
            <w:pPr>
              <w:widowControl/>
              <w:spacing w:line="600" w:lineRule="auto"/>
              <w:jc w:val="center"/>
              <w:rPr>
                <w:rFonts w:hint="eastAsia"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noWrap w:val="0"/>
            <w:vAlign w:val="top"/>
          </w:tcPr>
          <w:p>
            <w:pPr>
              <w:widowControl/>
              <w:spacing w:line="600" w:lineRule="auto"/>
              <w:jc w:val="center"/>
              <w:rPr>
                <w:rFonts w:hint="eastAsia"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noWrap w:val="0"/>
            <w:vAlign w:val="top"/>
          </w:tcPr>
          <w:p>
            <w:pPr>
              <w:widowControl/>
              <w:spacing w:line="600" w:lineRule="auto"/>
              <w:jc w:val="center"/>
              <w:rPr>
                <w:rFonts w:hint="eastAsia" w:ascii="宋体" w:hAnsi="宋体" w:eastAsia="宋体" w:cs="宋体"/>
                <w:b/>
                <w:bCs/>
                <w:color w:val="000000"/>
                <w:kern w:val="0"/>
                <w:sz w:val="22"/>
              </w:rPr>
            </w:pPr>
            <w:r>
              <w:rPr>
                <w:rFonts w:hint="eastAsia" w:ascii="宋体" w:hAnsi="宋体" w:eastAsia="宋体" w:cs="宋体"/>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noWrap w:val="0"/>
            <w:vAlign w:val="center"/>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决策</w:t>
            </w:r>
          </w:p>
        </w:tc>
        <w:tc>
          <w:tcPr>
            <w:tcW w:w="1478" w:type="dxa"/>
            <w:vMerge w:val="restart"/>
            <w:shd w:val="clear" w:color="auto" w:fill="FFFFFF"/>
            <w:noWrap w:val="0"/>
            <w:vAlign w:val="center"/>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项目立项　</w:t>
            </w:r>
          </w:p>
        </w:tc>
        <w:tc>
          <w:tcPr>
            <w:tcW w:w="1875" w:type="dxa"/>
            <w:tcBorders>
              <w:right w:val="single" w:color="auto" w:sz="4" w:space="0"/>
            </w:tcBorders>
            <w:shd w:val="clear" w:color="auto" w:fill="FFFFFF"/>
            <w:noWrap w:val="0"/>
            <w:vAlign w:val="center"/>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立项依据</w:t>
            </w:r>
          </w:p>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充分性</w:t>
            </w:r>
          </w:p>
        </w:tc>
        <w:tc>
          <w:tcPr>
            <w:tcW w:w="3885" w:type="dxa"/>
            <w:tcBorders>
              <w:right w:val="single" w:color="auto" w:sz="4" w:space="0"/>
            </w:tcBorders>
            <w:shd w:val="clear" w:color="auto" w:fill="FFFFFF"/>
            <w:noWrap w:val="0"/>
            <w:vAlign w:val="top"/>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noWrap w:val="0"/>
            <w:vAlign w:val="top"/>
          </w:tcPr>
          <w:p>
            <w:pPr>
              <w:spacing w:line="600" w:lineRule="auto"/>
              <w:jc w:val="center"/>
              <w:rPr>
                <w:rFonts w:hint="eastAsia" w:ascii="Calibri" w:hAnsi="Calibri" w:eastAsia="宋体" w:cs="Times New Roman"/>
                <w:sz w:val="21"/>
                <w:szCs w:val="22"/>
              </w:rPr>
            </w:pPr>
            <w:r>
              <w:rPr>
                <w:rFonts w:hint="eastAsia" w:ascii="Calibri" w:hAnsi="Calibri" w:eastAsia="宋体" w:cs="Times New Roman"/>
                <w:sz w:val="21"/>
                <w:szCs w:val="22"/>
              </w:rPr>
              <w:t>4</w:t>
            </w:r>
          </w:p>
        </w:tc>
        <w:tc>
          <w:tcPr>
            <w:tcW w:w="874" w:type="dxa"/>
            <w:tcBorders>
              <w:bottom w:val="single" w:color="auto" w:sz="4" w:space="0"/>
            </w:tcBorders>
            <w:shd w:val="clear" w:color="auto" w:fill="FFFFFF"/>
            <w:noWrap w:val="0"/>
            <w:vAlign w:val="top"/>
          </w:tcPr>
          <w:p>
            <w:pPr>
              <w:spacing w:line="600" w:lineRule="auto"/>
              <w:jc w:val="center"/>
              <w:rPr>
                <w:rFonts w:hint="eastAsia" w:ascii="Calibri" w:hAnsi="Calibri" w:eastAsia="宋体" w:cs="Times New Roman"/>
                <w:sz w:val="21"/>
                <w:szCs w:val="22"/>
                <w:lang w:val="en-US" w:eastAsia="zh-CN"/>
              </w:rPr>
            </w:pPr>
            <w:r>
              <w:rPr>
                <w:rFonts w:hint="eastAsia" w:ascii="Calibri" w:hAnsi="Calibri" w:eastAsia="宋体" w:cs="Times New Roman"/>
                <w:sz w:val="21"/>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noWrap w:val="0"/>
            <w:vAlign w:val="center"/>
          </w:tcPr>
          <w:p>
            <w:pPr>
              <w:spacing w:line="0" w:lineRule="atLeast"/>
              <w:jc w:val="center"/>
              <w:rPr>
                <w:rFonts w:hint="eastAsia" w:ascii="宋体" w:hAnsi="宋体" w:eastAsia="宋体" w:cs="宋体"/>
                <w:color w:val="000000"/>
                <w:kern w:val="0"/>
                <w:sz w:val="22"/>
              </w:rPr>
            </w:pPr>
          </w:p>
        </w:tc>
        <w:tc>
          <w:tcPr>
            <w:tcW w:w="1478" w:type="dxa"/>
            <w:vMerge w:val="continue"/>
            <w:shd w:val="clear" w:color="auto" w:fill="FFFFFF"/>
            <w:noWrap w:val="0"/>
            <w:vAlign w:val="center"/>
          </w:tcPr>
          <w:p>
            <w:pPr>
              <w:widowControl/>
              <w:spacing w:line="0" w:lineRule="atLeast"/>
              <w:jc w:val="center"/>
              <w:rPr>
                <w:rFonts w:hint="eastAsia" w:ascii="宋体" w:hAnsi="宋体" w:eastAsia="宋体" w:cs="宋体"/>
                <w:color w:val="000000"/>
                <w:kern w:val="0"/>
                <w:sz w:val="22"/>
              </w:rPr>
            </w:pPr>
          </w:p>
        </w:tc>
        <w:tc>
          <w:tcPr>
            <w:tcW w:w="1875" w:type="dxa"/>
            <w:tcBorders>
              <w:right w:val="single" w:color="auto" w:sz="4" w:space="0"/>
            </w:tcBorders>
            <w:shd w:val="clear" w:color="auto" w:fill="FFFFFF"/>
            <w:noWrap w:val="0"/>
            <w:vAlign w:val="center"/>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立项程序</w:t>
            </w:r>
          </w:p>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规范性</w:t>
            </w:r>
          </w:p>
        </w:tc>
        <w:tc>
          <w:tcPr>
            <w:tcW w:w="3885" w:type="dxa"/>
            <w:tcBorders>
              <w:right w:val="single" w:color="auto" w:sz="4" w:space="0"/>
            </w:tcBorders>
            <w:shd w:val="clear" w:color="auto" w:fill="FFFFFF"/>
            <w:noWrap w:val="0"/>
            <w:vAlign w:val="top"/>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noWrap w:val="0"/>
            <w:vAlign w:val="top"/>
          </w:tcPr>
          <w:p>
            <w:pPr>
              <w:spacing w:line="600" w:lineRule="auto"/>
              <w:jc w:val="center"/>
              <w:rPr>
                <w:rFonts w:hint="eastAsia" w:ascii="Calibri" w:hAnsi="Calibri" w:eastAsia="宋体" w:cs="Times New Roman"/>
                <w:sz w:val="21"/>
                <w:szCs w:val="22"/>
              </w:rPr>
            </w:pPr>
            <w:r>
              <w:rPr>
                <w:rFonts w:hint="eastAsia" w:ascii="Calibri" w:hAnsi="Calibri" w:eastAsia="宋体" w:cs="Times New Roman"/>
                <w:sz w:val="21"/>
                <w:szCs w:val="22"/>
              </w:rPr>
              <w:t>3</w:t>
            </w:r>
          </w:p>
        </w:tc>
        <w:tc>
          <w:tcPr>
            <w:tcW w:w="874" w:type="dxa"/>
            <w:shd w:val="clear" w:color="auto" w:fill="FFFFFF"/>
            <w:noWrap w:val="0"/>
            <w:vAlign w:val="top"/>
          </w:tcPr>
          <w:p>
            <w:pPr>
              <w:spacing w:line="600" w:lineRule="auto"/>
              <w:jc w:val="center"/>
              <w:rPr>
                <w:rFonts w:hint="eastAsia" w:ascii="Calibri" w:hAnsi="Calibri" w:eastAsia="宋体" w:cs="Times New Roman"/>
                <w:sz w:val="21"/>
                <w:szCs w:val="22"/>
                <w:lang w:val="en-US" w:eastAsia="zh-CN"/>
              </w:rPr>
            </w:pPr>
            <w:r>
              <w:rPr>
                <w:rFonts w:hint="eastAsia" w:ascii="Calibri" w:hAnsi="Calibri" w:eastAsia="宋体" w:cs="Times New Roman"/>
                <w:sz w:val="21"/>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noWrap w:val="0"/>
            <w:vAlign w:val="center"/>
          </w:tcPr>
          <w:p>
            <w:pPr>
              <w:spacing w:line="0" w:lineRule="atLeast"/>
              <w:jc w:val="center"/>
              <w:rPr>
                <w:rFonts w:hint="eastAsia" w:ascii="宋体" w:hAnsi="宋体" w:eastAsia="宋体" w:cs="宋体"/>
                <w:color w:val="000000"/>
                <w:kern w:val="0"/>
                <w:sz w:val="22"/>
              </w:rPr>
            </w:pPr>
          </w:p>
        </w:tc>
        <w:tc>
          <w:tcPr>
            <w:tcW w:w="1478" w:type="dxa"/>
            <w:vMerge w:val="restart"/>
            <w:shd w:val="clear" w:color="auto" w:fill="FFFFFF"/>
            <w:noWrap w:val="0"/>
            <w:vAlign w:val="center"/>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绩效目标</w:t>
            </w:r>
          </w:p>
        </w:tc>
        <w:tc>
          <w:tcPr>
            <w:tcW w:w="1875" w:type="dxa"/>
            <w:tcBorders>
              <w:right w:val="single" w:color="auto" w:sz="4" w:space="0"/>
            </w:tcBorders>
            <w:shd w:val="clear" w:color="auto" w:fill="FFFFFF"/>
            <w:noWrap w:val="0"/>
            <w:vAlign w:val="center"/>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绩效目标</w:t>
            </w:r>
          </w:p>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合理性</w:t>
            </w:r>
          </w:p>
        </w:tc>
        <w:tc>
          <w:tcPr>
            <w:tcW w:w="3885" w:type="dxa"/>
            <w:tcBorders>
              <w:right w:val="single" w:color="auto" w:sz="4" w:space="0"/>
            </w:tcBorders>
            <w:shd w:val="clear" w:color="000000" w:fill="FFFFFF"/>
            <w:noWrap w:val="0"/>
            <w:vAlign w:val="top"/>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noWrap w:val="0"/>
            <w:vAlign w:val="top"/>
          </w:tcPr>
          <w:p>
            <w:pPr>
              <w:spacing w:line="600" w:lineRule="auto"/>
              <w:jc w:val="center"/>
              <w:rPr>
                <w:rFonts w:hint="eastAsia" w:ascii="Calibri" w:hAnsi="Calibri" w:eastAsia="宋体" w:cs="Times New Roman"/>
                <w:sz w:val="21"/>
                <w:szCs w:val="22"/>
              </w:rPr>
            </w:pPr>
            <w:r>
              <w:rPr>
                <w:rFonts w:hint="eastAsia" w:ascii="Calibri" w:hAnsi="Calibri" w:eastAsia="宋体" w:cs="Times New Roman"/>
                <w:sz w:val="21"/>
                <w:szCs w:val="22"/>
              </w:rPr>
              <w:t>5</w:t>
            </w:r>
          </w:p>
        </w:tc>
        <w:tc>
          <w:tcPr>
            <w:tcW w:w="874" w:type="dxa"/>
            <w:shd w:val="clear" w:color="000000" w:fill="FFFFFF"/>
            <w:noWrap w:val="0"/>
            <w:vAlign w:val="top"/>
          </w:tcPr>
          <w:p>
            <w:pPr>
              <w:spacing w:line="600" w:lineRule="auto"/>
              <w:jc w:val="center"/>
              <w:rPr>
                <w:rFonts w:hint="eastAsia" w:ascii="Calibri" w:hAnsi="Calibri" w:eastAsia="宋体" w:cs="Times New Roman"/>
                <w:sz w:val="21"/>
                <w:szCs w:val="22"/>
                <w:lang w:val="en-US" w:eastAsia="zh-CN"/>
              </w:rPr>
            </w:pPr>
            <w:r>
              <w:rPr>
                <w:rFonts w:hint="eastAsia" w:ascii="Calibri" w:hAnsi="Calibri" w:eastAsia="宋体" w:cs="Times New Roman"/>
                <w:sz w:val="21"/>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noWrap w:val="0"/>
            <w:vAlign w:val="center"/>
          </w:tcPr>
          <w:p>
            <w:pPr>
              <w:widowControl/>
              <w:spacing w:line="0" w:lineRule="atLeast"/>
              <w:jc w:val="center"/>
              <w:rPr>
                <w:rFonts w:hint="eastAsia" w:ascii="宋体" w:hAnsi="宋体" w:eastAsia="宋体" w:cs="宋体"/>
                <w:color w:val="000000"/>
                <w:kern w:val="0"/>
                <w:sz w:val="22"/>
              </w:rPr>
            </w:pPr>
          </w:p>
        </w:tc>
        <w:tc>
          <w:tcPr>
            <w:tcW w:w="1478" w:type="dxa"/>
            <w:vMerge w:val="continue"/>
            <w:shd w:val="clear" w:color="auto" w:fill="FFFFFF"/>
            <w:noWrap w:val="0"/>
            <w:vAlign w:val="center"/>
          </w:tcPr>
          <w:p>
            <w:pPr>
              <w:widowControl/>
              <w:spacing w:line="0" w:lineRule="atLeast"/>
              <w:jc w:val="center"/>
              <w:rPr>
                <w:rFonts w:hint="eastAsia" w:ascii="宋体" w:hAnsi="宋体" w:eastAsia="宋体" w:cs="宋体"/>
                <w:color w:val="000000"/>
                <w:kern w:val="0"/>
                <w:sz w:val="22"/>
              </w:rPr>
            </w:pPr>
          </w:p>
        </w:tc>
        <w:tc>
          <w:tcPr>
            <w:tcW w:w="1875" w:type="dxa"/>
            <w:tcBorders>
              <w:right w:val="single" w:color="auto" w:sz="4" w:space="0"/>
            </w:tcBorders>
            <w:shd w:val="clear" w:color="auto" w:fill="FFFFFF"/>
            <w:noWrap w:val="0"/>
            <w:vAlign w:val="center"/>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绩效指标</w:t>
            </w:r>
          </w:p>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明确性</w:t>
            </w:r>
          </w:p>
        </w:tc>
        <w:tc>
          <w:tcPr>
            <w:tcW w:w="3885" w:type="dxa"/>
            <w:tcBorders>
              <w:right w:val="single" w:color="auto" w:sz="4" w:space="0"/>
            </w:tcBorders>
            <w:shd w:val="clear" w:color="000000" w:fill="FFFFFF"/>
            <w:noWrap w:val="0"/>
            <w:vAlign w:val="top"/>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noWrap w:val="0"/>
            <w:vAlign w:val="top"/>
          </w:tcPr>
          <w:p>
            <w:pPr>
              <w:spacing w:line="600" w:lineRule="auto"/>
              <w:jc w:val="center"/>
              <w:rPr>
                <w:rFonts w:hint="eastAsia" w:ascii="Calibri" w:hAnsi="Calibri" w:eastAsia="宋体" w:cs="Times New Roman"/>
                <w:sz w:val="21"/>
                <w:szCs w:val="22"/>
              </w:rPr>
            </w:pPr>
            <w:r>
              <w:rPr>
                <w:rFonts w:hint="eastAsia" w:ascii="Calibri" w:hAnsi="Calibri" w:eastAsia="宋体" w:cs="Times New Roman"/>
                <w:sz w:val="21"/>
                <w:szCs w:val="22"/>
              </w:rPr>
              <w:t>3</w:t>
            </w:r>
          </w:p>
        </w:tc>
        <w:tc>
          <w:tcPr>
            <w:tcW w:w="874" w:type="dxa"/>
            <w:tcBorders>
              <w:bottom w:val="single" w:color="auto" w:sz="4" w:space="0"/>
            </w:tcBorders>
            <w:shd w:val="clear" w:color="000000" w:fill="FFFFFF"/>
            <w:noWrap w:val="0"/>
            <w:vAlign w:val="top"/>
          </w:tcPr>
          <w:p>
            <w:pPr>
              <w:spacing w:line="600" w:lineRule="auto"/>
              <w:jc w:val="center"/>
              <w:rPr>
                <w:rFonts w:hint="eastAsia" w:ascii="Calibri" w:hAnsi="Calibri" w:eastAsia="宋体" w:cs="Times New Roman"/>
                <w:sz w:val="21"/>
                <w:szCs w:val="22"/>
                <w:lang w:val="en-US" w:eastAsia="zh-CN"/>
              </w:rPr>
            </w:pPr>
            <w:r>
              <w:rPr>
                <w:rFonts w:hint="eastAsia" w:ascii="Calibri" w:hAnsi="Calibri" w:eastAsia="宋体" w:cs="Times New Roman"/>
                <w:sz w:val="21"/>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noWrap w:val="0"/>
            <w:vAlign w:val="center"/>
          </w:tcPr>
          <w:p>
            <w:pPr>
              <w:spacing w:line="0" w:lineRule="atLeast"/>
              <w:jc w:val="center"/>
              <w:rPr>
                <w:rFonts w:hint="eastAsia" w:ascii="宋体" w:hAnsi="宋体" w:eastAsia="宋体" w:cs="宋体"/>
                <w:color w:val="000000"/>
                <w:kern w:val="0"/>
                <w:sz w:val="22"/>
              </w:rPr>
            </w:pPr>
          </w:p>
        </w:tc>
        <w:tc>
          <w:tcPr>
            <w:tcW w:w="1478" w:type="dxa"/>
            <w:vMerge w:val="restart"/>
            <w:shd w:val="clear" w:color="auto" w:fill="FFFFFF"/>
            <w:noWrap w:val="0"/>
            <w:vAlign w:val="center"/>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资金投入</w:t>
            </w:r>
          </w:p>
          <w:p>
            <w:pPr>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　</w:t>
            </w:r>
          </w:p>
        </w:tc>
        <w:tc>
          <w:tcPr>
            <w:tcW w:w="1875" w:type="dxa"/>
            <w:tcBorders>
              <w:right w:val="single" w:color="auto" w:sz="4" w:space="0"/>
            </w:tcBorders>
            <w:shd w:val="clear" w:color="auto" w:fill="FFFFFF"/>
            <w:noWrap w:val="0"/>
            <w:vAlign w:val="center"/>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预算编制</w:t>
            </w:r>
          </w:p>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科学性</w:t>
            </w:r>
          </w:p>
        </w:tc>
        <w:tc>
          <w:tcPr>
            <w:tcW w:w="3885" w:type="dxa"/>
            <w:tcBorders>
              <w:right w:val="single" w:color="auto" w:sz="4" w:space="0"/>
            </w:tcBorders>
            <w:shd w:val="clear" w:color="auto" w:fill="FFFFFF"/>
            <w:noWrap w:val="0"/>
            <w:vAlign w:val="top"/>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noWrap w:val="0"/>
            <w:vAlign w:val="top"/>
          </w:tcPr>
          <w:p>
            <w:pPr>
              <w:spacing w:line="600" w:lineRule="auto"/>
              <w:jc w:val="center"/>
              <w:rPr>
                <w:rFonts w:hint="eastAsia" w:ascii="Calibri" w:hAnsi="Calibri" w:eastAsia="宋体" w:cs="Times New Roman"/>
                <w:sz w:val="21"/>
                <w:szCs w:val="22"/>
              </w:rPr>
            </w:pPr>
            <w:r>
              <w:rPr>
                <w:rFonts w:hint="eastAsia" w:ascii="Calibri" w:hAnsi="Calibri" w:eastAsia="宋体" w:cs="Times New Roman"/>
                <w:sz w:val="21"/>
                <w:szCs w:val="22"/>
              </w:rPr>
              <w:t>4</w:t>
            </w:r>
          </w:p>
        </w:tc>
        <w:tc>
          <w:tcPr>
            <w:tcW w:w="874" w:type="dxa"/>
            <w:tcBorders>
              <w:bottom w:val="single" w:color="auto" w:sz="4" w:space="0"/>
            </w:tcBorders>
            <w:shd w:val="clear" w:color="auto" w:fill="FFFFFF"/>
            <w:noWrap w:val="0"/>
            <w:vAlign w:val="top"/>
          </w:tcPr>
          <w:p>
            <w:pPr>
              <w:spacing w:line="600" w:lineRule="auto"/>
              <w:jc w:val="center"/>
              <w:rPr>
                <w:rFonts w:hint="eastAsia" w:ascii="Calibri" w:hAnsi="Calibri" w:eastAsia="宋体" w:cs="Times New Roman"/>
                <w:sz w:val="21"/>
                <w:szCs w:val="22"/>
                <w:lang w:val="en-US" w:eastAsia="zh-CN"/>
              </w:rPr>
            </w:pPr>
            <w:r>
              <w:rPr>
                <w:rFonts w:hint="eastAsia" w:ascii="Calibri" w:hAnsi="Calibri" w:eastAsia="宋体" w:cs="Times New Roman"/>
                <w:sz w:val="21"/>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noWrap w:val="0"/>
            <w:vAlign w:val="center"/>
          </w:tcPr>
          <w:p>
            <w:pPr>
              <w:widowControl/>
              <w:spacing w:line="0" w:lineRule="atLeast"/>
              <w:jc w:val="center"/>
              <w:rPr>
                <w:rFonts w:hint="eastAsia" w:ascii="宋体" w:hAnsi="宋体" w:eastAsia="宋体" w:cs="宋体"/>
                <w:color w:val="000000"/>
                <w:kern w:val="0"/>
                <w:sz w:val="22"/>
              </w:rPr>
            </w:pPr>
          </w:p>
        </w:tc>
        <w:tc>
          <w:tcPr>
            <w:tcW w:w="1478" w:type="dxa"/>
            <w:vMerge w:val="continue"/>
            <w:shd w:val="clear" w:color="auto" w:fill="FFFFFF"/>
            <w:noWrap w:val="0"/>
            <w:vAlign w:val="center"/>
          </w:tcPr>
          <w:p>
            <w:pPr>
              <w:widowControl/>
              <w:spacing w:line="0" w:lineRule="atLeast"/>
              <w:jc w:val="center"/>
              <w:rPr>
                <w:rFonts w:hint="eastAsia" w:ascii="宋体" w:hAnsi="宋体" w:eastAsia="宋体" w:cs="宋体"/>
                <w:color w:val="000000"/>
                <w:kern w:val="0"/>
                <w:sz w:val="22"/>
              </w:rPr>
            </w:pPr>
          </w:p>
        </w:tc>
        <w:tc>
          <w:tcPr>
            <w:tcW w:w="1875" w:type="dxa"/>
            <w:tcBorders>
              <w:right w:val="single" w:color="auto" w:sz="4" w:space="0"/>
            </w:tcBorders>
            <w:shd w:val="clear" w:color="auto" w:fill="FFFFFF"/>
            <w:noWrap w:val="0"/>
            <w:vAlign w:val="center"/>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资金分配</w:t>
            </w:r>
          </w:p>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合理性</w:t>
            </w:r>
          </w:p>
        </w:tc>
        <w:tc>
          <w:tcPr>
            <w:tcW w:w="3885" w:type="dxa"/>
            <w:tcBorders>
              <w:right w:val="single" w:color="auto" w:sz="4" w:space="0"/>
            </w:tcBorders>
            <w:shd w:val="clear" w:color="auto" w:fill="FFFFFF"/>
            <w:noWrap w:val="0"/>
            <w:vAlign w:val="top"/>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noWrap w:val="0"/>
            <w:vAlign w:val="top"/>
          </w:tcPr>
          <w:p>
            <w:pPr>
              <w:spacing w:line="600" w:lineRule="auto"/>
              <w:jc w:val="center"/>
              <w:rPr>
                <w:rFonts w:hint="eastAsia" w:ascii="Calibri" w:hAnsi="Calibri" w:eastAsia="宋体" w:cs="Times New Roman"/>
                <w:sz w:val="21"/>
                <w:szCs w:val="22"/>
              </w:rPr>
            </w:pPr>
            <w:r>
              <w:rPr>
                <w:rFonts w:hint="eastAsia" w:ascii="Calibri" w:hAnsi="Calibri" w:eastAsia="宋体" w:cs="Times New Roman"/>
                <w:sz w:val="21"/>
                <w:szCs w:val="22"/>
              </w:rPr>
              <w:t>4</w:t>
            </w:r>
          </w:p>
        </w:tc>
        <w:tc>
          <w:tcPr>
            <w:tcW w:w="874" w:type="dxa"/>
            <w:shd w:val="clear" w:color="auto" w:fill="FFFFFF"/>
            <w:noWrap w:val="0"/>
            <w:vAlign w:val="top"/>
          </w:tcPr>
          <w:p>
            <w:pPr>
              <w:spacing w:line="600" w:lineRule="auto"/>
              <w:jc w:val="center"/>
              <w:rPr>
                <w:rFonts w:hint="eastAsia" w:ascii="Calibri" w:hAnsi="Calibri" w:eastAsia="宋体" w:cs="Times New Roman"/>
                <w:sz w:val="21"/>
                <w:szCs w:val="22"/>
                <w:lang w:val="en-US" w:eastAsia="zh-CN"/>
              </w:rPr>
            </w:pPr>
            <w:r>
              <w:rPr>
                <w:rFonts w:hint="eastAsia" w:ascii="Calibri" w:hAnsi="Calibri" w:eastAsia="宋体" w:cs="Times New Roman"/>
                <w:sz w:val="21"/>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noWrap w:val="0"/>
            <w:vAlign w:val="center"/>
          </w:tcPr>
          <w:p>
            <w:pPr>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过程</w:t>
            </w:r>
          </w:p>
        </w:tc>
        <w:tc>
          <w:tcPr>
            <w:tcW w:w="1478" w:type="dxa"/>
            <w:vMerge w:val="restart"/>
            <w:shd w:val="clear" w:color="auto" w:fill="FFFFFF"/>
            <w:noWrap w:val="0"/>
            <w:vAlign w:val="center"/>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资金管理</w:t>
            </w:r>
          </w:p>
        </w:tc>
        <w:tc>
          <w:tcPr>
            <w:tcW w:w="1875" w:type="dxa"/>
            <w:tcBorders>
              <w:right w:val="single" w:color="auto" w:sz="4" w:space="0"/>
            </w:tcBorders>
            <w:shd w:val="clear" w:color="auto" w:fill="FFFFFF"/>
            <w:noWrap w:val="0"/>
            <w:vAlign w:val="center"/>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资金到位率</w:t>
            </w:r>
          </w:p>
        </w:tc>
        <w:tc>
          <w:tcPr>
            <w:tcW w:w="3885" w:type="dxa"/>
            <w:tcBorders>
              <w:right w:val="single" w:color="auto" w:sz="4" w:space="0"/>
            </w:tcBorders>
            <w:shd w:val="clear" w:color="000000" w:fill="FFFFFF"/>
            <w:noWrap w:val="0"/>
            <w:vAlign w:val="top"/>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noWrap w:val="0"/>
            <w:vAlign w:val="top"/>
          </w:tcPr>
          <w:p>
            <w:pPr>
              <w:spacing w:line="600" w:lineRule="auto"/>
              <w:jc w:val="center"/>
              <w:rPr>
                <w:rFonts w:hint="eastAsia" w:ascii="Calibri" w:hAnsi="Calibri" w:eastAsia="宋体" w:cs="Times New Roman"/>
                <w:sz w:val="21"/>
                <w:szCs w:val="22"/>
              </w:rPr>
            </w:pPr>
            <w:r>
              <w:rPr>
                <w:rFonts w:hint="eastAsia" w:ascii="Calibri" w:hAnsi="Calibri" w:eastAsia="宋体" w:cs="Times New Roman"/>
                <w:sz w:val="21"/>
                <w:szCs w:val="22"/>
              </w:rPr>
              <w:t>4</w:t>
            </w:r>
          </w:p>
        </w:tc>
        <w:tc>
          <w:tcPr>
            <w:tcW w:w="874" w:type="dxa"/>
            <w:tcBorders>
              <w:bottom w:val="single" w:color="auto" w:sz="4" w:space="0"/>
            </w:tcBorders>
            <w:shd w:val="clear" w:color="000000" w:fill="FFFFFF"/>
            <w:noWrap w:val="0"/>
            <w:vAlign w:val="top"/>
          </w:tcPr>
          <w:p>
            <w:pPr>
              <w:spacing w:line="600" w:lineRule="auto"/>
              <w:jc w:val="center"/>
              <w:rPr>
                <w:rFonts w:hint="eastAsia" w:ascii="Calibri" w:hAnsi="Calibri" w:eastAsia="宋体" w:cs="Times New Roman"/>
                <w:sz w:val="21"/>
                <w:szCs w:val="22"/>
                <w:lang w:val="en-US" w:eastAsia="zh-CN"/>
              </w:rPr>
            </w:pPr>
            <w:r>
              <w:rPr>
                <w:rFonts w:hint="eastAsia" w:ascii="Calibri" w:hAnsi="Calibri" w:eastAsia="宋体" w:cs="Times New Roman"/>
                <w:sz w:val="21"/>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noWrap w:val="0"/>
            <w:vAlign w:val="center"/>
          </w:tcPr>
          <w:p>
            <w:pPr>
              <w:spacing w:line="0" w:lineRule="atLeast"/>
              <w:jc w:val="center"/>
              <w:rPr>
                <w:rFonts w:hint="eastAsia" w:ascii="宋体" w:hAnsi="宋体" w:eastAsia="宋体" w:cs="宋体"/>
                <w:color w:val="000000"/>
                <w:kern w:val="0"/>
                <w:sz w:val="22"/>
              </w:rPr>
            </w:pPr>
          </w:p>
        </w:tc>
        <w:tc>
          <w:tcPr>
            <w:tcW w:w="1478" w:type="dxa"/>
            <w:vMerge w:val="continue"/>
            <w:shd w:val="clear" w:color="auto" w:fill="FFFFFF"/>
            <w:noWrap w:val="0"/>
            <w:vAlign w:val="center"/>
          </w:tcPr>
          <w:p>
            <w:pPr>
              <w:spacing w:line="0" w:lineRule="atLeast"/>
              <w:jc w:val="center"/>
              <w:rPr>
                <w:rFonts w:hint="eastAsia" w:ascii="宋体" w:hAnsi="宋体" w:eastAsia="宋体" w:cs="宋体"/>
                <w:color w:val="000000"/>
                <w:kern w:val="0"/>
                <w:sz w:val="22"/>
              </w:rPr>
            </w:pPr>
          </w:p>
        </w:tc>
        <w:tc>
          <w:tcPr>
            <w:tcW w:w="1875" w:type="dxa"/>
            <w:tcBorders>
              <w:right w:val="single" w:color="auto" w:sz="4" w:space="0"/>
            </w:tcBorders>
            <w:shd w:val="clear" w:color="auto" w:fill="FFFFFF"/>
            <w:noWrap w:val="0"/>
            <w:vAlign w:val="center"/>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预算执行率</w:t>
            </w:r>
          </w:p>
        </w:tc>
        <w:tc>
          <w:tcPr>
            <w:tcW w:w="3885" w:type="dxa"/>
            <w:tcBorders>
              <w:right w:val="single" w:color="auto" w:sz="4" w:space="0"/>
            </w:tcBorders>
            <w:shd w:val="clear" w:color="auto" w:fill="FFFFFF"/>
            <w:noWrap w:val="0"/>
            <w:vAlign w:val="top"/>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noWrap w:val="0"/>
            <w:vAlign w:val="top"/>
          </w:tcPr>
          <w:p>
            <w:pPr>
              <w:spacing w:line="600" w:lineRule="auto"/>
              <w:jc w:val="center"/>
              <w:rPr>
                <w:rFonts w:hint="eastAsia" w:ascii="Calibri" w:hAnsi="Calibri" w:eastAsia="宋体" w:cs="Times New Roman"/>
                <w:sz w:val="21"/>
                <w:szCs w:val="22"/>
              </w:rPr>
            </w:pPr>
            <w:r>
              <w:rPr>
                <w:rFonts w:hint="eastAsia" w:ascii="Calibri" w:hAnsi="Calibri" w:eastAsia="宋体" w:cs="Times New Roman"/>
                <w:sz w:val="21"/>
                <w:szCs w:val="22"/>
              </w:rPr>
              <w:t>5</w:t>
            </w:r>
          </w:p>
        </w:tc>
        <w:tc>
          <w:tcPr>
            <w:tcW w:w="874" w:type="dxa"/>
            <w:tcBorders>
              <w:bottom w:val="single" w:color="auto" w:sz="4" w:space="0"/>
            </w:tcBorders>
            <w:shd w:val="clear" w:color="auto" w:fill="FFFFFF"/>
            <w:noWrap w:val="0"/>
            <w:vAlign w:val="top"/>
          </w:tcPr>
          <w:p>
            <w:pPr>
              <w:spacing w:line="600" w:lineRule="auto"/>
              <w:jc w:val="center"/>
              <w:rPr>
                <w:rFonts w:hint="eastAsia" w:ascii="Calibri" w:hAnsi="Calibri" w:eastAsia="宋体" w:cs="Times New Roman"/>
                <w:sz w:val="21"/>
                <w:szCs w:val="22"/>
                <w:lang w:val="en-US" w:eastAsia="zh-CN"/>
              </w:rPr>
            </w:pPr>
            <w:r>
              <w:rPr>
                <w:rFonts w:hint="eastAsia" w:ascii="Calibri" w:hAnsi="Calibri" w:eastAsia="宋体" w:cs="Times New Roman"/>
                <w:sz w:val="21"/>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noWrap w:val="0"/>
            <w:vAlign w:val="center"/>
          </w:tcPr>
          <w:p>
            <w:pPr>
              <w:spacing w:line="0" w:lineRule="atLeast"/>
              <w:jc w:val="center"/>
              <w:rPr>
                <w:rFonts w:hint="eastAsia" w:ascii="宋体" w:hAnsi="宋体" w:eastAsia="宋体" w:cs="宋体"/>
                <w:color w:val="000000"/>
                <w:kern w:val="0"/>
                <w:sz w:val="22"/>
              </w:rPr>
            </w:pPr>
          </w:p>
        </w:tc>
        <w:tc>
          <w:tcPr>
            <w:tcW w:w="1478" w:type="dxa"/>
            <w:shd w:val="clear" w:color="auto" w:fill="FFFFFF"/>
            <w:noWrap w:val="0"/>
            <w:vAlign w:val="center"/>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资金管理</w:t>
            </w:r>
          </w:p>
        </w:tc>
        <w:tc>
          <w:tcPr>
            <w:tcW w:w="1875" w:type="dxa"/>
            <w:tcBorders>
              <w:right w:val="single" w:color="auto" w:sz="4" w:space="0"/>
            </w:tcBorders>
            <w:shd w:val="clear" w:color="auto" w:fill="FFFFFF"/>
            <w:noWrap w:val="0"/>
            <w:vAlign w:val="center"/>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资金使用</w:t>
            </w:r>
          </w:p>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合规性</w:t>
            </w:r>
          </w:p>
        </w:tc>
        <w:tc>
          <w:tcPr>
            <w:tcW w:w="3885" w:type="dxa"/>
            <w:tcBorders>
              <w:right w:val="single" w:color="auto" w:sz="4" w:space="0"/>
            </w:tcBorders>
            <w:shd w:val="clear" w:color="000000" w:fill="FFFFFF"/>
            <w:noWrap w:val="0"/>
            <w:vAlign w:val="top"/>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noWrap w:val="0"/>
            <w:vAlign w:val="top"/>
          </w:tcPr>
          <w:p>
            <w:pPr>
              <w:spacing w:line="600" w:lineRule="auto"/>
              <w:jc w:val="center"/>
              <w:rPr>
                <w:rFonts w:hint="eastAsia" w:ascii="Calibri" w:hAnsi="Calibri" w:eastAsia="宋体" w:cs="Times New Roman"/>
                <w:sz w:val="21"/>
                <w:szCs w:val="22"/>
              </w:rPr>
            </w:pPr>
            <w:r>
              <w:rPr>
                <w:rFonts w:hint="eastAsia" w:ascii="Calibri" w:hAnsi="Calibri" w:eastAsia="宋体" w:cs="Times New Roman"/>
                <w:sz w:val="21"/>
                <w:szCs w:val="22"/>
              </w:rPr>
              <w:t>3</w:t>
            </w:r>
          </w:p>
        </w:tc>
        <w:tc>
          <w:tcPr>
            <w:tcW w:w="874" w:type="dxa"/>
            <w:tcBorders>
              <w:bottom w:val="single" w:color="auto" w:sz="4" w:space="0"/>
            </w:tcBorders>
            <w:shd w:val="clear" w:color="000000" w:fill="FFFFFF"/>
            <w:noWrap w:val="0"/>
            <w:vAlign w:val="top"/>
          </w:tcPr>
          <w:p>
            <w:pPr>
              <w:spacing w:line="600" w:lineRule="auto"/>
              <w:jc w:val="center"/>
              <w:rPr>
                <w:rFonts w:hint="eastAsia" w:ascii="Calibri" w:hAnsi="Calibri" w:eastAsia="宋体" w:cs="Times New Roman"/>
                <w:sz w:val="21"/>
                <w:szCs w:val="22"/>
                <w:lang w:val="en-US" w:eastAsia="zh-CN"/>
              </w:rPr>
            </w:pPr>
            <w:r>
              <w:rPr>
                <w:rFonts w:hint="eastAsia" w:ascii="Calibri" w:hAnsi="Calibri" w:eastAsia="宋体" w:cs="Times New Roman"/>
                <w:sz w:val="21"/>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noWrap w:val="0"/>
            <w:vAlign w:val="center"/>
          </w:tcPr>
          <w:p>
            <w:pPr>
              <w:spacing w:line="0" w:lineRule="atLeast"/>
              <w:jc w:val="center"/>
              <w:rPr>
                <w:rFonts w:hint="eastAsia" w:ascii="宋体" w:hAnsi="宋体" w:eastAsia="宋体" w:cs="宋体"/>
                <w:color w:val="000000"/>
                <w:kern w:val="0"/>
                <w:sz w:val="22"/>
              </w:rPr>
            </w:pPr>
          </w:p>
        </w:tc>
        <w:tc>
          <w:tcPr>
            <w:tcW w:w="1478" w:type="dxa"/>
            <w:vMerge w:val="restart"/>
            <w:shd w:val="clear" w:color="auto" w:fill="FFFFFF"/>
            <w:noWrap w:val="0"/>
            <w:vAlign w:val="center"/>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组织实施</w:t>
            </w:r>
          </w:p>
          <w:p>
            <w:pPr>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　</w:t>
            </w:r>
          </w:p>
        </w:tc>
        <w:tc>
          <w:tcPr>
            <w:tcW w:w="1875" w:type="dxa"/>
            <w:tcBorders>
              <w:right w:val="single" w:color="auto" w:sz="4" w:space="0"/>
            </w:tcBorders>
            <w:shd w:val="clear" w:color="auto" w:fill="FFFFFF"/>
            <w:noWrap w:val="0"/>
            <w:vAlign w:val="center"/>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管理制度</w:t>
            </w:r>
          </w:p>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健全性</w:t>
            </w:r>
          </w:p>
        </w:tc>
        <w:tc>
          <w:tcPr>
            <w:tcW w:w="3885" w:type="dxa"/>
            <w:tcBorders>
              <w:right w:val="single" w:color="auto" w:sz="4" w:space="0"/>
            </w:tcBorders>
            <w:shd w:val="clear" w:color="000000" w:fill="FFFFFF"/>
            <w:noWrap w:val="0"/>
            <w:vAlign w:val="top"/>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noWrap w:val="0"/>
            <w:vAlign w:val="top"/>
          </w:tcPr>
          <w:p>
            <w:pPr>
              <w:spacing w:line="600" w:lineRule="auto"/>
              <w:jc w:val="center"/>
              <w:rPr>
                <w:rFonts w:hint="eastAsia" w:ascii="Calibri" w:hAnsi="Calibri" w:eastAsia="宋体" w:cs="Times New Roman"/>
                <w:sz w:val="21"/>
                <w:szCs w:val="22"/>
              </w:rPr>
            </w:pPr>
            <w:r>
              <w:rPr>
                <w:rFonts w:hint="eastAsia" w:ascii="Calibri" w:hAnsi="Calibri" w:eastAsia="宋体" w:cs="Times New Roman"/>
                <w:sz w:val="21"/>
                <w:szCs w:val="22"/>
              </w:rPr>
              <w:t>3</w:t>
            </w:r>
          </w:p>
        </w:tc>
        <w:tc>
          <w:tcPr>
            <w:tcW w:w="874" w:type="dxa"/>
            <w:tcBorders>
              <w:bottom w:val="single" w:color="auto" w:sz="4" w:space="0"/>
            </w:tcBorders>
            <w:shd w:val="clear" w:color="000000" w:fill="FFFFFF"/>
            <w:noWrap w:val="0"/>
            <w:vAlign w:val="top"/>
          </w:tcPr>
          <w:p>
            <w:pPr>
              <w:spacing w:line="600" w:lineRule="auto"/>
              <w:jc w:val="center"/>
              <w:rPr>
                <w:rFonts w:hint="eastAsia" w:ascii="Calibri" w:hAnsi="Calibri" w:eastAsia="宋体" w:cs="Times New Roman"/>
                <w:sz w:val="21"/>
                <w:szCs w:val="22"/>
                <w:lang w:val="en-US" w:eastAsia="zh-CN"/>
              </w:rPr>
            </w:pPr>
            <w:r>
              <w:rPr>
                <w:rFonts w:hint="eastAsia" w:ascii="Calibri" w:hAnsi="Calibri" w:eastAsia="宋体" w:cs="Times New Roman"/>
                <w:sz w:val="21"/>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noWrap w:val="0"/>
            <w:vAlign w:val="center"/>
          </w:tcPr>
          <w:p>
            <w:pPr>
              <w:widowControl/>
              <w:spacing w:line="0" w:lineRule="atLeast"/>
              <w:jc w:val="center"/>
              <w:rPr>
                <w:rFonts w:hint="eastAsia" w:ascii="宋体" w:hAnsi="宋体" w:eastAsia="宋体" w:cs="宋体"/>
                <w:color w:val="000000"/>
                <w:kern w:val="0"/>
                <w:sz w:val="22"/>
              </w:rPr>
            </w:pPr>
          </w:p>
        </w:tc>
        <w:tc>
          <w:tcPr>
            <w:tcW w:w="1478" w:type="dxa"/>
            <w:vMerge w:val="continue"/>
            <w:shd w:val="clear" w:color="auto" w:fill="FFFFFF"/>
            <w:noWrap w:val="0"/>
            <w:vAlign w:val="center"/>
          </w:tcPr>
          <w:p>
            <w:pPr>
              <w:widowControl/>
              <w:spacing w:line="0" w:lineRule="atLeast"/>
              <w:jc w:val="center"/>
              <w:rPr>
                <w:rFonts w:hint="eastAsia" w:ascii="宋体" w:hAnsi="宋体" w:eastAsia="宋体" w:cs="宋体"/>
                <w:color w:val="000000"/>
                <w:kern w:val="0"/>
                <w:sz w:val="22"/>
              </w:rPr>
            </w:pPr>
          </w:p>
        </w:tc>
        <w:tc>
          <w:tcPr>
            <w:tcW w:w="1875" w:type="dxa"/>
            <w:tcBorders>
              <w:right w:val="single" w:color="auto" w:sz="4" w:space="0"/>
            </w:tcBorders>
            <w:shd w:val="clear" w:color="auto" w:fill="FFFFFF"/>
            <w:noWrap w:val="0"/>
            <w:vAlign w:val="center"/>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制度执行</w:t>
            </w:r>
          </w:p>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有效性</w:t>
            </w:r>
          </w:p>
        </w:tc>
        <w:tc>
          <w:tcPr>
            <w:tcW w:w="3885" w:type="dxa"/>
            <w:tcBorders>
              <w:right w:val="single" w:color="auto" w:sz="4" w:space="0"/>
            </w:tcBorders>
            <w:shd w:val="clear" w:color="000000" w:fill="FFFFFF"/>
            <w:noWrap w:val="0"/>
            <w:vAlign w:val="top"/>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noWrap w:val="0"/>
            <w:vAlign w:val="top"/>
          </w:tcPr>
          <w:p>
            <w:pPr>
              <w:spacing w:line="600" w:lineRule="auto"/>
              <w:jc w:val="center"/>
              <w:rPr>
                <w:rFonts w:hint="eastAsia" w:ascii="Calibri" w:hAnsi="Calibri" w:eastAsia="宋体" w:cs="Times New Roman"/>
                <w:sz w:val="21"/>
                <w:szCs w:val="22"/>
              </w:rPr>
            </w:pPr>
            <w:r>
              <w:rPr>
                <w:rFonts w:hint="eastAsia" w:ascii="Calibri" w:hAnsi="Calibri" w:eastAsia="宋体" w:cs="Times New Roman"/>
                <w:sz w:val="21"/>
                <w:szCs w:val="22"/>
              </w:rPr>
              <w:t>2</w:t>
            </w:r>
          </w:p>
        </w:tc>
        <w:tc>
          <w:tcPr>
            <w:tcW w:w="874" w:type="dxa"/>
            <w:tcBorders>
              <w:bottom w:val="single" w:color="auto" w:sz="4" w:space="0"/>
            </w:tcBorders>
            <w:shd w:val="clear" w:color="000000" w:fill="FFFFFF"/>
            <w:noWrap w:val="0"/>
            <w:vAlign w:val="top"/>
          </w:tcPr>
          <w:p>
            <w:pPr>
              <w:spacing w:line="600" w:lineRule="auto"/>
              <w:jc w:val="center"/>
              <w:rPr>
                <w:rFonts w:hint="eastAsia" w:ascii="Calibri" w:hAnsi="Calibri" w:eastAsia="宋体" w:cs="Times New Roman"/>
                <w:sz w:val="21"/>
                <w:szCs w:val="22"/>
                <w:lang w:val="en-US" w:eastAsia="zh-CN"/>
              </w:rPr>
            </w:pPr>
            <w:r>
              <w:rPr>
                <w:rFonts w:hint="eastAsia" w:ascii="Calibri" w:hAnsi="Calibri" w:eastAsia="宋体" w:cs="Times New Roman"/>
                <w:sz w:val="21"/>
                <w:szCs w:val="22"/>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noWrap w:val="0"/>
            <w:vAlign w:val="center"/>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产出</w:t>
            </w:r>
          </w:p>
        </w:tc>
        <w:tc>
          <w:tcPr>
            <w:tcW w:w="1478" w:type="dxa"/>
            <w:shd w:val="clear" w:color="auto" w:fill="FFFFFF"/>
            <w:noWrap w:val="0"/>
            <w:vAlign w:val="center"/>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产出数量</w:t>
            </w:r>
          </w:p>
        </w:tc>
        <w:tc>
          <w:tcPr>
            <w:tcW w:w="1875" w:type="dxa"/>
            <w:tcBorders>
              <w:right w:val="single" w:color="auto" w:sz="4" w:space="0"/>
            </w:tcBorders>
            <w:shd w:val="clear" w:color="auto" w:fill="FFFFFF"/>
            <w:noWrap w:val="0"/>
            <w:vAlign w:val="center"/>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实际完成率</w:t>
            </w:r>
          </w:p>
        </w:tc>
        <w:tc>
          <w:tcPr>
            <w:tcW w:w="3885" w:type="dxa"/>
            <w:tcBorders>
              <w:right w:val="single" w:color="auto" w:sz="4" w:space="0"/>
            </w:tcBorders>
            <w:shd w:val="clear" w:color="000000" w:fill="FFFFFF"/>
            <w:noWrap w:val="0"/>
            <w:vAlign w:val="top"/>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noWrap w:val="0"/>
            <w:vAlign w:val="top"/>
          </w:tcPr>
          <w:p>
            <w:pPr>
              <w:spacing w:line="600" w:lineRule="auto"/>
              <w:jc w:val="center"/>
              <w:rPr>
                <w:rFonts w:hint="eastAsia" w:ascii="Calibri" w:hAnsi="Calibri" w:eastAsia="宋体" w:cs="Times New Roman"/>
                <w:sz w:val="21"/>
                <w:szCs w:val="22"/>
              </w:rPr>
            </w:pPr>
            <w:r>
              <w:rPr>
                <w:rFonts w:hint="eastAsia" w:ascii="Calibri" w:hAnsi="Calibri" w:eastAsia="宋体" w:cs="Times New Roman"/>
                <w:sz w:val="21"/>
                <w:szCs w:val="22"/>
              </w:rPr>
              <w:t>8</w:t>
            </w:r>
          </w:p>
        </w:tc>
        <w:tc>
          <w:tcPr>
            <w:tcW w:w="874" w:type="dxa"/>
            <w:shd w:val="clear" w:color="000000" w:fill="FFFFFF"/>
            <w:noWrap w:val="0"/>
            <w:vAlign w:val="top"/>
          </w:tcPr>
          <w:p>
            <w:pPr>
              <w:spacing w:line="600" w:lineRule="auto"/>
              <w:jc w:val="center"/>
              <w:rPr>
                <w:rFonts w:hint="eastAsia" w:ascii="Calibri" w:hAnsi="Calibri" w:eastAsia="宋体" w:cs="Times New Roman"/>
                <w:sz w:val="21"/>
                <w:szCs w:val="22"/>
                <w:lang w:val="en-US" w:eastAsia="zh-CN"/>
              </w:rPr>
            </w:pPr>
            <w:r>
              <w:rPr>
                <w:rFonts w:hint="eastAsia" w:ascii="Calibri" w:hAnsi="Calibri" w:eastAsia="宋体" w:cs="Times New Roman"/>
                <w:sz w:val="21"/>
                <w:szCs w:val="22"/>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noWrap w:val="0"/>
            <w:vAlign w:val="center"/>
          </w:tcPr>
          <w:p>
            <w:pPr>
              <w:widowControl/>
              <w:spacing w:line="0" w:lineRule="atLeast"/>
              <w:jc w:val="center"/>
              <w:rPr>
                <w:rFonts w:hint="eastAsia" w:ascii="宋体" w:hAnsi="宋体" w:eastAsia="宋体" w:cs="宋体"/>
                <w:color w:val="000000"/>
                <w:kern w:val="0"/>
                <w:sz w:val="22"/>
              </w:rPr>
            </w:pPr>
          </w:p>
        </w:tc>
        <w:tc>
          <w:tcPr>
            <w:tcW w:w="1478" w:type="dxa"/>
            <w:shd w:val="clear" w:color="auto" w:fill="FFFFFF"/>
            <w:noWrap w:val="0"/>
            <w:vAlign w:val="center"/>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产出质量</w:t>
            </w:r>
          </w:p>
        </w:tc>
        <w:tc>
          <w:tcPr>
            <w:tcW w:w="1875" w:type="dxa"/>
            <w:tcBorders>
              <w:right w:val="single" w:color="auto" w:sz="4" w:space="0"/>
            </w:tcBorders>
            <w:shd w:val="clear" w:color="auto" w:fill="FFFFFF"/>
            <w:noWrap w:val="0"/>
            <w:vAlign w:val="center"/>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质量达标率</w:t>
            </w:r>
          </w:p>
        </w:tc>
        <w:tc>
          <w:tcPr>
            <w:tcW w:w="3885" w:type="dxa"/>
            <w:tcBorders>
              <w:right w:val="single" w:color="auto" w:sz="4" w:space="0"/>
            </w:tcBorders>
            <w:shd w:val="clear" w:color="000000" w:fill="FFFFFF"/>
            <w:noWrap w:val="0"/>
            <w:vAlign w:val="top"/>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noWrap w:val="0"/>
            <w:vAlign w:val="top"/>
          </w:tcPr>
          <w:p>
            <w:pPr>
              <w:spacing w:line="600" w:lineRule="auto"/>
              <w:jc w:val="center"/>
              <w:rPr>
                <w:rFonts w:hint="eastAsia" w:ascii="Calibri" w:hAnsi="Calibri" w:eastAsia="宋体" w:cs="Times New Roman"/>
                <w:sz w:val="21"/>
                <w:szCs w:val="22"/>
              </w:rPr>
            </w:pPr>
            <w:r>
              <w:rPr>
                <w:rFonts w:hint="eastAsia" w:ascii="Calibri" w:hAnsi="Calibri" w:eastAsia="宋体" w:cs="Times New Roman"/>
                <w:sz w:val="21"/>
                <w:szCs w:val="22"/>
              </w:rPr>
              <w:t>7</w:t>
            </w:r>
          </w:p>
        </w:tc>
        <w:tc>
          <w:tcPr>
            <w:tcW w:w="874" w:type="dxa"/>
            <w:shd w:val="clear" w:color="000000" w:fill="FFFFFF"/>
            <w:noWrap w:val="0"/>
            <w:vAlign w:val="top"/>
          </w:tcPr>
          <w:p>
            <w:pPr>
              <w:spacing w:line="600" w:lineRule="auto"/>
              <w:jc w:val="center"/>
              <w:rPr>
                <w:rFonts w:hint="eastAsia" w:ascii="Calibri" w:hAnsi="Calibri" w:eastAsia="宋体" w:cs="Times New Roman"/>
                <w:sz w:val="21"/>
                <w:szCs w:val="22"/>
                <w:lang w:val="en-US" w:eastAsia="zh-CN"/>
              </w:rPr>
            </w:pPr>
            <w:r>
              <w:rPr>
                <w:rFonts w:hint="eastAsia" w:ascii="Calibri" w:hAnsi="Calibri" w:eastAsia="宋体" w:cs="Times New Roman"/>
                <w:sz w:val="21"/>
                <w:szCs w:val="22"/>
                <w:lang w:val="en-US" w:eastAsia="zh-CN"/>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noWrap w:val="0"/>
            <w:vAlign w:val="center"/>
          </w:tcPr>
          <w:p>
            <w:pPr>
              <w:spacing w:line="0" w:lineRule="atLeast"/>
              <w:jc w:val="center"/>
              <w:rPr>
                <w:rFonts w:hint="eastAsia" w:ascii="宋体" w:hAnsi="宋体" w:eastAsia="宋体" w:cs="宋体"/>
                <w:color w:val="000000"/>
                <w:kern w:val="0"/>
                <w:sz w:val="22"/>
              </w:rPr>
            </w:pPr>
          </w:p>
        </w:tc>
        <w:tc>
          <w:tcPr>
            <w:tcW w:w="1478" w:type="dxa"/>
            <w:shd w:val="clear" w:color="auto" w:fill="FFFFFF"/>
            <w:noWrap w:val="0"/>
            <w:vAlign w:val="center"/>
          </w:tcPr>
          <w:p>
            <w:pPr>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产出时效</w:t>
            </w:r>
          </w:p>
        </w:tc>
        <w:tc>
          <w:tcPr>
            <w:tcW w:w="1875" w:type="dxa"/>
            <w:tcBorders>
              <w:right w:val="single" w:color="auto" w:sz="4" w:space="0"/>
            </w:tcBorders>
            <w:shd w:val="clear" w:color="auto" w:fill="FFFFFF"/>
            <w:noWrap w:val="0"/>
            <w:vAlign w:val="center"/>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完成及时性</w:t>
            </w:r>
          </w:p>
        </w:tc>
        <w:tc>
          <w:tcPr>
            <w:tcW w:w="3885" w:type="dxa"/>
            <w:tcBorders>
              <w:right w:val="single" w:color="auto" w:sz="4" w:space="0"/>
            </w:tcBorders>
            <w:shd w:val="clear" w:color="000000" w:fill="FFFFFF"/>
            <w:noWrap w:val="0"/>
            <w:vAlign w:val="top"/>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noWrap w:val="0"/>
            <w:vAlign w:val="top"/>
          </w:tcPr>
          <w:p>
            <w:pPr>
              <w:spacing w:line="600" w:lineRule="auto"/>
              <w:jc w:val="center"/>
              <w:rPr>
                <w:rFonts w:hint="eastAsia" w:ascii="Calibri" w:hAnsi="Calibri" w:eastAsia="宋体" w:cs="Times New Roman"/>
                <w:sz w:val="21"/>
                <w:szCs w:val="22"/>
              </w:rPr>
            </w:pPr>
            <w:r>
              <w:rPr>
                <w:rFonts w:hint="eastAsia" w:ascii="Calibri" w:hAnsi="Calibri" w:eastAsia="宋体" w:cs="Times New Roman"/>
                <w:sz w:val="21"/>
                <w:szCs w:val="22"/>
              </w:rPr>
              <w:t>8</w:t>
            </w:r>
          </w:p>
        </w:tc>
        <w:tc>
          <w:tcPr>
            <w:tcW w:w="874" w:type="dxa"/>
            <w:shd w:val="clear" w:color="000000" w:fill="FFFFFF"/>
            <w:noWrap w:val="0"/>
            <w:vAlign w:val="top"/>
          </w:tcPr>
          <w:p>
            <w:pPr>
              <w:spacing w:line="600" w:lineRule="auto"/>
              <w:jc w:val="center"/>
              <w:rPr>
                <w:rFonts w:hint="eastAsia" w:ascii="Calibri" w:hAnsi="Calibri" w:eastAsia="宋体" w:cs="Times New Roman"/>
                <w:sz w:val="21"/>
                <w:szCs w:val="22"/>
                <w:lang w:val="en-US" w:eastAsia="zh-CN"/>
              </w:rPr>
            </w:pPr>
            <w:r>
              <w:rPr>
                <w:rFonts w:hint="eastAsia" w:ascii="Calibri" w:hAnsi="Calibri" w:eastAsia="宋体" w:cs="Times New Roman"/>
                <w:sz w:val="21"/>
                <w:szCs w:val="22"/>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noWrap w:val="0"/>
            <w:vAlign w:val="center"/>
          </w:tcPr>
          <w:p>
            <w:pPr>
              <w:widowControl/>
              <w:spacing w:line="0" w:lineRule="atLeast"/>
              <w:jc w:val="center"/>
              <w:rPr>
                <w:rFonts w:hint="eastAsia" w:ascii="宋体" w:hAnsi="宋体" w:eastAsia="宋体" w:cs="宋体"/>
                <w:color w:val="000000"/>
                <w:kern w:val="0"/>
                <w:sz w:val="22"/>
              </w:rPr>
            </w:pPr>
          </w:p>
        </w:tc>
        <w:tc>
          <w:tcPr>
            <w:tcW w:w="1478" w:type="dxa"/>
            <w:shd w:val="clear" w:color="auto" w:fill="FFFFFF"/>
            <w:noWrap w:val="0"/>
            <w:vAlign w:val="center"/>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产出成本</w:t>
            </w:r>
          </w:p>
        </w:tc>
        <w:tc>
          <w:tcPr>
            <w:tcW w:w="1875" w:type="dxa"/>
            <w:tcBorders>
              <w:right w:val="single" w:color="auto" w:sz="4" w:space="0"/>
            </w:tcBorders>
            <w:shd w:val="clear" w:color="auto" w:fill="FFFFFF"/>
            <w:noWrap w:val="0"/>
            <w:vAlign w:val="center"/>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成本节约率</w:t>
            </w:r>
          </w:p>
        </w:tc>
        <w:tc>
          <w:tcPr>
            <w:tcW w:w="3885" w:type="dxa"/>
            <w:tcBorders>
              <w:right w:val="single" w:color="auto" w:sz="4" w:space="0"/>
            </w:tcBorders>
            <w:shd w:val="clear" w:color="auto" w:fill="FFFFFF"/>
            <w:noWrap w:val="0"/>
            <w:vAlign w:val="top"/>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noWrap w:val="0"/>
            <w:vAlign w:val="top"/>
          </w:tcPr>
          <w:p>
            <w:pPr>
              <w:spacing w:line="600" w:lineRule="auto"/>
              <w:jc w:val="center"/>
              <w:rPr>
                <w:rFonts w:hint="eastAsia" w:ascii="Calibri" w:hAnsi="Calibri" w:eastAsia="宋体" w:cs="Times New Roman"/>
                <w:sz w:val="21"/>
                <w:szCs w:val="22"/>
              </w:rPr>
            </w:pPr>
            <w:r>
              <w:rPr>
                <w:rFonts w:hint="eastAsia" w:ascii="Calibri" w:hAnsi="Calibri" w:eastAsia="宋体" w:cs="Times New Roman"/>
                <w:sz w:val="21"/>
                <w:szCs w:val="22"/>
              </w:rPr>
              <w:t>7</w:t>
            </w:r>
          </w:p>
        </w:tc>
        <w:tc>
          <w:tcPr>
            <w:tcW w:w="874" w:type="dxa"/>
            <w:shd w:val="clear" w:color="auto" w:fill="FFFFFF"/>
            <w:noWrap w:val="0"/>
            <w:vAlign w:val="top"/>
          </w:tcPr>
          <w:p>
            <w:pPr>
              <w:spacing w:line="600" w:lineRule="auto"/>
              <w:jc w:val="center"/>
              <w:rPr>
                <w:rFonts w:hint="eastAsia" w:ascii="Calibri" w:hAnsi="Calibri" w:eastAsia="宋体" w:cs="Times New Roman"/>
                <w:sz w:val="21"/>
                <w:szCs w:val="22"/>
                <w:lang w:val="en-US" w:eastAsia="zh-CN"/>
              </w:rPr>
            </w:pPr>
            <w:r>
              <w:rPr>
                <w:rFonts w:hint="eastAsia" w:ascii="Calibri" w:hAnsi="Calibri" w:eastAsia="宋体" w:cs="Times New Roman"/>
                <w:sz w:val="21"/>
                <w:szCs w:val="22"/>
                <w:lang w:val="en-US" w:eastAsia="zh-CN"/>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noWrap w:val="0"/>
            <w:vAlign w:val="center"/>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效益　</w:t>
            </w:r>
          </w:p>
        </w:tc>
        <w:tc>
          <w:tcPr>
            <w:tcW w:w="1478" w:type="dxa"/>
            <w:vMerge w:val="restart"/>
            <w:shd w:val="clear" w:color="auto" w:fill="FFFFFF"/>
            <w:noWrap w:val="0"/>
            <w:vAlign w:val="center"/>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项目效益　</w:t>
            </w:r>
          </w:p>
        </w:tc>
        <w:tc>
          <w:tcPr>
            <w:tcW w:w="1875" w:type="dxa"/>
            <w:tcBorders>
              <w:right w:val="single" w:color="auto" w:sz="4" w:space="0"/>
            </w:tcBorders>
            <w:shd w:val="clear" w:color="auto" w:fill="FFFFFF"/>
            <w:noWrap w:val="0"/>
            <w:vAlign w:val="center"/>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实施效益</w:t>
            </w:r>
          </w:p>
        </w:tc>
        <w:tc>
          <w:tcPr>
            <w:tcW w:w="3885" w:type="dxa"/>
            <w:tcBorders>
              <w:right w:val="single" w:color="auto" w:sz="4" w:space="0"/>
            </w:tcBorders>
            <w:shd w:val="clear" w:color="auto" w:fill="FFFFFF"/>
            <w:noWrap w:val="0"/>
            <w:vAlign w:val="top"/>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项目实施所产生的效益。</w:t>
            </w:r>
          </w:p>
        </w:tc>
        <w:tc>
          <w:tcPr>
            <w:tcW w:w="990" w:type="dxa"/>
            <w:tcBorders>
              <w:left w:val="single" w:color="auto" w:sz="4" w:space="0"/>
            </w:tcBorders>
            <w:shd w:val="clear" w:color="auto" w:fill="FFFFFF"/>
            <w:noWrap w:val="0"/>
            <w:vAlign w:val="top"/>
          </w:tcPr>
          <w:p>
            <w:pPr>
              <w:spacing w:line="600" w:lineRule="auto"/>
              <w:jc w:val="center"/>
              <w:rPr>
                <w:rFonts w:hint="eastAsia" w:ascii="Calibri" w:hAnsi="Calibri" w:eastAsia="宋体" w:cs="Times New Roman"/>
                <w:sz w:val="21"/>
                <w:szCs w:val="22"/>
              </w:rPr>
            </w:pPr>
            <w:r>
              <w:rPr>
                <w:rFonts w:hint="eastAsia" w:ascii="Calibri" w:hAnsi="Calibri" w:eastAsia="宋体" w:cs="Times New Roman"/>
                <w:sz w:val="21"/>
                <w:szCs w:val="22"/>
              </w:rPr>
              <w:t>20</w:t>
            </w:r>
          </w:p>
        </w:tc>
        <w:tc>
          <w:tcPr>
            <w:tcW w:w="874" w:type="dxa"/>
            <w:shd w:val="clear" w:color="auto" w:fill="FFFFFF"/>
            <w:noWrap w:val="0"/>
            <w:vAlign w:val="top"/>
          </w:tcPr>
          <w:p>
            <w:pPr>
              <w:spacing w:line="600" w:lineRule="auto"/>
              <w:jc w:val="center"/>
              <w:rPr>
                <w:rFonts w:hint="eastAsia" w:ascii="Calibri" w:hAnsi="Calibri" w:eastAsia="宋体" w:cs="Times New Roman"/>
                <w:sz w:val="21"/>
                <w:szCs w:val="22"/>
                <w:lang w:val="en-US" w:eastAsia="zh-CN"/>
              </w:rPr>
            </w:pPr>
            <w:r>
              <w:rPr>
                <w:rFonts w:hint="eastAsia" w:ascii="Calibri" w:hAnsi="Calibri" w:eastAsia="宋体" w:cs="Times New Roman"/>
                <w:sz w:val="21"/>
                <w:szCs w:val="22"/>
                <w:lang w:val="en-US" w:eastAsia="zh-CN"/>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noWrap w:val="0"/>
            <w:vAlign w:val="center"/>
          </w:tcPr>
          <w:p>
            <w:pPr>
              <w:widowControl/>
              <w:spacing w:line="0" w:lineRule="atLeast"/>
              <w:jc w:val="center"/>
              <w:rPr>
                <w:rFonts w:hint="eastAsia" w:ascii="宋体" w:hAnsi="宋体" w:eastAsia="宋体" w:cs="宋体"/>
                <w:color w:val="000000"/>
                <w:kern w:val="0"/>
                <w:sz w:val="22"/>
              </w:rPr>
            </w:pPr>
          </w:p>
        </w:tc>
        <w:tc>
          <w:tcPr>
            <w:tcW w:w="1478" w:type="dxa"/>
            <w:vMerge w:val="continue"/>
            <w:shd w:val="clear" w:color="auto" w:fill="FFFFFF"/>
            <w:noWrap w:val="0"/>
            <w:vAlign w:val="center"/>
          </w:tcPr>
          <w:p>
            <w:pPr>
              <w:widowControl/>
              <w:spacing w:line="0" w:lineRule="atLeast"/>
              <w:jc w:val="center"/>
              <w:rPr>
                <w:rFonts w:hint="eastAsia" w:ascii="宋体" w:hAnsi="宋体" w:eastAsia="宋体" w:cs="宋体"/>
                <w:color w:val="000000"/>
                <w:kern w:val="0"/>
                <w:sz w:val="22"/>
              </w:rPr>
            </w:pPr>
          </w:p>
        </w:tc>
        <w:tc>
          <w:tcPr>
            <w:tcW w:w="1875" w:type="dxa"/>
            <w:tcBorders>
              <w:right w:val="single" w:color="auto" w:sz="4" w:space="0"/>
            </w:tcBorders>
            <w:shd w:val="clear" w:color="auto" w:fill="FFFFFF"/>
            <w:noWrap w:val="0"/>
            <w:vAlign w:val="center"/>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满意度</w:t>
            </w:r>
          </w:p>
        </w:tc>
        <w:tc>
          <w:tcPr>
            <w:tcW w:w="3885" w:type="dxa"/>
            <w:tcBorders>
              <w:right w:val="single" w:color="auto" w:sz="4" w:space="0"/>
            </w:tcBorders>
            <w:shd w:val="clear" w:color="000000" w:fill="FFFFFF"/>
            <w:noWrap w:val="0"/>
            <w:vAlign w:val="top"/>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color w:val="000000"/>
                <w:kern w:val="0"/>
                <w:sz w:val="22"/>
              </w:rPr>
              <w:t>社会公众或服务对象对项目实施效果的满意程度。</w:t>
            </w:r>
          </w:p>
        </w:tc>
        <w:tc>
          <w:tcPr>
            <w:tcW w:w="990" w:type="dxa"/>
            <w:tcBorders>
              <w:left w:val="single" w:color="auto" w:sz="4" w:space="0"/>
            </w:tcBorders>
            <w:shd w:val="clear" w:color="000000" w:fill="FFFFFF"/>
            <w:noWrap w:val="0"/>
            <w:vAlign w:val="top"/>
          </w:tcPr>
          <w:p>
            <w:pPr>
              <w:spacing w:line="600" w:lineRule="auto"/>
              <w:jc w:val="center"/>
              <w:rPr>
                <w:rFonts w:hint="eastAsia" w:ascii="Calibri" w:hAnsi="Calibri" w:eastAsia="宋体" w:cs="Times New Roman"/>
                <w:sz w:val="21"/>
                <w:szCs w:val="22"/>
              </w:rPr>
            </w:pPr>
            <w:r>
              <w:rPr>
                <w:rFonts w:hint="eastAsia" w:ascii="Calibri" w:hAnsi="Calibri" w:eastAsia="宋体" w:cs="Times New Roman"/>
                <w:sz w:val="21"/>
                <w:szCs w:val="22"/>
              </w:rPr>
              <w:t>10</w:t>
            </w:r>
          </w:p>
        </w:tc>
        <w:tc>
          <w:tcPr>
            <w:tcW w:w="874" w:type="dxa"/>
            <w:shd w:val="clear" w:color="000000" w:fill="FFFFFF"/>
            <w:noWrap w:val="0"/>
            <w:vAlign w:val="top"/>
          </w:tcPr>
          <w:p>
            <w:pPr>
              <w:spacing w:line="600" w:lineRule="auto"/>
              <w:jc w:val="center"/>
              <w:rPr>
                <w:rFonts w:hint="eastAsia" w:ascii="Calibri" w:hAnsi="Calibri" w:eastAsia="宋体" w:cs="Times New Roman"/>
                <w:sz w:val="21"/>
                <w:szCs w:val="22"/>
                <w:lang w:val="en-US" w:eastAsia="zh-CN"/>
              </w:rPr>
            </w:pPr>
            <w:r>
              <w:rPr>
                <w:rFonts w:hint="eastAsia" w:ascii="Calibri" w:hAnsi="Calibri" w:eastAsia="宋体" w:cs="Times New Roman"/>
                <w:sz w:val="21"/>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noWrap w:val="0"/>
            <w:vAlign w:val="center"/>
          </w:tcPr>
          <w:p>
            <w:pPr>
              <w:widowControl/>
              <w:spacing w:line="0" w:lineRule="atLeast"/>
              <w:jc w:val="center"/>
              <w:rPr>
                <w:rFonts w:hint="eastAsia" w:ascii="宋体" w:hAnsi="宋体" w:eastAsia="宋体" w:cs="宋体"/>
                <w:color w:val="000000"/>
                <w:kern w:val="0"/>
                <w:sz w:val="22"/>
              </w:rPr>
            </w:pPr>
            <w:r>
              <w:rPr>
                <w:rFonts w:hint="eastAsia" w:ascii="宋体" w:hAnsi="宋体" w:eastAsia="宋体" w:cs="宋体"/>
                <w:b/>
                <w:bCs/>
                <w:color w:val="000000"/>
                <w:kern w:val="0"/>
                <w:sz w:val="22"/>
              </w:rPr>
              <w:t>总分</w:t>
            </w:r>
          </w:p>
        </w:tc>
        <w:tc>
          <w:tcPr>
            <w:tcW w:w="3885" w:type="dxa"/>
            <w:tcBorders>
              <w:right w:val="single" w:color="auto" w:sz="4" w:space="0"/>
            </w:tcBorders>
            <w:shd w:val="clear" w:color="auto" w:fill="FFFFFF"/>
            <w:noWrap w:val="0"/>
            <w:vAlign w:val="top"/>
          </w:tcPr>
          <w:p>
            <w:pPr>
              <w:widowControl/>
              <w:spacing w:line="0" w:lineRule="atLeast"/>
              <w:jc w:val="center"/>
              <w:rPr>
                <w:rFonts w:hint="eastAsia" w:ascii="宋体" w:hAnsi="宋体" w:eastAsia="宋体" w:cs="宋体"/>
                <w:color w:val="000000"/>
                <w:kern w:val="0"/>
                <w:sz w:val="22"/>
              </w:rPr>
            </w:pPr>
          </w:p>
        </w:tc>
        <w:tc>
          <w:tcPr>
            <w:tcW w:w="990" w:type="dxa"/>
            <w:tcBorders>
              <w:left w:val="single" w:color="auto" w:sz="4" w:space="0"/>
            </w:tcBorders>
            <w:shd w:val="clear" w:color="auto" w:fill="FFFFFF"/>
            <w:noWrap w:val="0"/>
            <w:vAlign w:val="center"/>
          </w:tcPr>
          <w:p>
            <w:pPr>
              <w:spacing w:line="600" w:lineRule="auto"/>
              <w:jc w:val="center"/>
              <w:rPr>
                <w:rFonts w:hint="eastAsia" w:ascii="Calibri" w:hAnsi="Calibri" w:eastAsia="宋体" w:cs="Times New Roman"/>
                <w:sz w:val="21"/>
                <w:szCs w:val="22"/>
              </w:rPr>
            </w:pPr>
            <w:r>
              <w:rPr>
                <w:rFonts w:hint="eastAsia" w:ascii="Calibri" w:hAnsi="Calibri" w:eastAsia="宋体" w:cs="Times New Roman"/>
                <w:sz w:val="21"/>
                <w:szCs w:val="22"/>
              </w:rPr>
              <w:t>100</w:t>
            </w:r>
          </w:p>
        </w:tc>
        <w:tc>
          <w:tcPr>
            <w:tcW w:w="874" w:type="dxa"/>
            <w:shd w:val="clear" w:color="auto" w:fill="FFFFFF"/>
            <w:noWrap w:val="0"/>
            <w:vAlign w:val="center"/>
          </w:tcPr>
          <w:p>
            <w:pPr>
              <w:spacing w:line="600" w:lineRule="auto"/>
              <w:jc w:val="center"/>
              <w:rPr>
                <w:rFonts w:hint="default" w:ascii="Calibri" w:hAnsi="Calibri" w:eastAsia="宋体" w:cs="Times New Roman"/>
                <w:sz w:val="21"/>
                <w:szCs w:val="22"/>
                <w:lang w:val="en-US" w:eastAsia="zh-CN"/>
              </w:rPr>
            </w:pPr>
            <w:r>
              <w:rPr>
                <w:rFonts w:hint="eastAsia" w:ascii="Calibri" w:hAnsi="Calibri" w:eastAsia="宋体" w:cs="Times New Roman"/>
                <w:sz w:val="21"/>
                <w:szCs w:val="22"/>
                <w:lang w:val="en-US" w:eastAsia="zh-CN"/>
              </w:rPr>
              <w:t>100</w:t>
            </w:r>
          </w:p>
        </w:tc>
      </w:tr>
    </w:tbl>
    <w:p>
      <w:pPr>
        <w:adjustRightInd w:val="0"/>
        <w:snapToGrid w:val="0"/>
        <w:spacing w:line="560" w:lineRule="atLeast"/>
        <w:ind w:firstLine="640" w:firstLineChars="200"/>
        <w:rPr>
          <w:rFonts w:ascii="仿宋" w:hAnsi="仿宋" w:eastAsia="仿宋"/>
          <w:sz w:val="32"/>
          <w:szCs w:val="32"/>
        </w:rPr>
      </w:pPr>
    </w:p>
    <w:p>
      <w:pPr>
        <w:adjustRightInd w:val="0"/>
        <w:snapToGrid w:val="0"/>
        <w:spacing w:line="560" w:lineRule="atLeast"/>
        <w:ind w:firstLine="640" w:firstLineChars="200"/>
        <w:rPr>
          <w:rFonts w:ascii="仿宋" w:hAnsi="仿宋" w:eastAsia="仿宋"/>
          <w:sz w:val="32"/>
          <w:szCs w:val="32"/>
        </w:rPr>
      </w:pPr>
    </w:p>
    <w:p>
      <w:pPr>
        <w:adjustRightInd w:val="0"/>
        <w:snapToGrid w:val="0"/>
        <w:spacing w:line="560" w:lineRule="atLeast"/>
        <w:ind w:firstLine="640" w:firstLineChars="200"/>
        <w:rPr>
          <w:rFonts w:ascii="仿宋" w:hAnsi="仿宋" w:eastAsia="仿宋"/>
          <w:sz w:val="32"/>
          <w:szCs w:val="32"/>
        </w:rPr>
      </w:pPr>
    </w:p>
    <w:p>
      <w:pPr>
        <w:adjustRightInd w:val="0"/>
        <w:snapToGrid w:val="0"/>
        <w:spacing w:line="560" w:lineRule="atLeast"/>
        <w:ind w:firstLine="640" w:firstLineChars="200"/>
        <w:rPr>
          <w:rFonts w:ascii="仿宋" w:hAnsi="仿宋" w:eastAsia="仿宋"/>
          <w:sz w:val="32"/>
          <w:szCs w:val="32"/>
        </w:rPr>
      </w:pPr>
    </w:p>
    <w:p>
      <w:pPr>
        <w:adjustRightInd w:val="0"/>
        <w:snapToGrid w:val="0"/>
        <w:spacing w:line="560" w:lineRule="atLeast"/>
        <w:ind w:firstLine="640" w:firstLineChars="200"/>
        <w:rPr>
          <w:rFonts w:ascii="仿宋" w:hAnsi="仿宋" w:eastAsia="仿宋"/>
          <w:sz w:val="32"/>
          <w:szCs w:val="32"/>
        </w:rPr>
      </w:pPr>
    </w:p>
    <w:p>
      <w:pPr>
        <w:adjustRightInd w:val="0"/>
        <w:snapToGrid w:val="0"/>
        <w:spacing w:line="560" w:lineRule="atLeast"/>
        <w:ind w:firstLine="640" w:firstLineChars="200"/>
        <w:rPr>
          <w:rFonts w:ascii="仿宋" w:hAnsi="仿宋" w:eastAsia="仿宋"/>
          <w:sz w:val="32"/>
          <w:szCs w:val="32"/>
        </w:rPr>
      </w:pPr>
    </w:p>
    <w:p>
      <w:pPr>
        <w:adjustRightInd w:val="0"/>
        <w:snapToGrid w:val="0"/>
        <w:spacing w:line="560" w:lineRule="atLeast"/>
        <w:ind w:firstLine="640" w:firstLineChars="200"/>
        <w:rPr>
          <w:rFonts w:ascii="仿宋" w:hAnsi="仿宋" w:eastAsia="仿宋"/>
          <w:sz w:val="32"/>
          <w:szCs w:val="32"/>
        </w:rPr>
      </w:pPr>
    </w:p>
    <w:p>
      <w:pPr>
        <w:adjustRightInd w:val="0"/>
        <w:snapToGrid w:val="0"/>
        <w:spacing w:line="560" w:lineRule="atLeast"/>
        <w:ind w:firstLine="640" w:firstLineChars="200"/>
        <w:rPr>
          <w:rFonts w:ascii="仿宋" w:hAnsi="仿宋" w:eastAsia="仿宋"/>
          <w:sz w:val="32"/>
          <w:szCs w:val="32"/>
        </w:rPr>
      </w:pPr>
    </w:p>
    <w:p>
      <w:pPr>
        <w:adjustRightInd w:val="0"/>
        <w:snapToGrid w:val="0"/>
        <w:spacing w:line="560" w:lineRule="atLeast"/>
        <w:ind w:firstLine="640" w:firstLineChars="200"/>
        <w:rPr>
          <w:rFonts w:ascii="仿宋" w:hAnsi="仿宋" w:eastAsia="仿宋"/>
          <w:sz w:val="32"/>
          <w:szCs w:val="32"/>
        </w:rPr>
      </w:pPr>
    </w:p>
    <w:p>
      <w:pPr>
        <w:adjustRightInd w:val="0"/>
        <w:snapToGrid w:val="0"/>
        <w:spacing w:line="560" w:lineRule="atLeast"/>
        <w:ind w:firstLine="640" w:firstLineChars="200"/>
        <w:rPr>
          <w:rFonts w:ascii="仿宋" w:hAnsi="仿宋" w:eastAsia="仿宋"/>
          <w:sz w:val="32"/>
          <w:szCs w:val="32"/>
        </w:rPr>
      </w:pPr>
    </w:p>
    <w:p>
      <w:pPr>
        <w:adjustRightInd w:val="0"/>
        <w:snapToGrid w:val="0"/>
        <w:spacing w:line="560" w:lineRule="atLeast"/>
        <w:ind w:firstLine="640" w:firstLineChars="200"/>
        <w:rPr>
          <w:rFonts w:ascii="仿宋" w:hAnsi="仿宋" w:eastAsia="仿宋"/>
          <w:sz w:val="32"/>
          <w:szCs w:val="32"/>
        </w:rPr>
      </w:pPr>
    </w:p>
    <w:p>
      <w:pPr>
        <w:adjustRightInd w:val="0"/>
        <w:snapToGrid w:val="0"/>
        <w:spacing w:line="560" w:lineRule="atLeast"/>
        <w:ind w:firstLine="640" w:firstLineChars="200"/>
        <w:rPr>
          <w:rFonts w:ascii="仿宋" w:hAnsi="仿宋" w:eastAsia="仿宋"/>
          <w:sz w:val="32"/>
          <w:szCs w:val="32"/>
        </w:rPr>
      </w:pPr>
    </w:p>
    <w:p>
      <w:pPr>
        <w:adjustRightInd w:val="0"/>
        <w:snapToGrid w:val="0"/>
        <w:spacing w:line="560" w:lineRule="atLeast"/>
        <w:ind w:firstLine="640" w:firstLineChars="200"/>
        <w:rPr>
          <w:rFonts w:ascii="仿宋" w:hAnsi="仿宋" w:eastAsia="仿宋"/>
          <w:sz w:val="32"/>
          <w:szCs w:val="32"/>
        </w:rPr>
      </w:pPr>
    </w:p>
    <w:p>
      <w:pPr>
        <w:adjustRightInd w:val="0"/>
        <w:snapToGrid w:val="0"/>
        <w:spacing w:line="560" w:lineRule="atLeast"/>
        <w:ind w:firstLine="640" w:firstLineChars="200"/>
        <w:rPr>
          <w:rFonts w:ascii="仿宋" w:hAnsi="仿宋" w:eastAsia="仿宋"/>
          <w:sz w:val="32"/>
          <w:szCs w:val="32"/>
        </w:rPr>
      </w:pPr>
    </w:p>
    <w:p>
      <w:pPr>
        <w:adjustRightInd w:val="0"/>
        <w:snapToGrid w:val="0"/>
        <w:spacing w:line="560" w:lineRule="atLeast"/>
        <w:ind w:firstLine="640" w:firstLineChars="200"/>
        <w:rPr>
          <w:rFonts w:ascii="仿宋" w:hAnsi="仿宋" w:eastAsia="仿宋"/>
          <w:sz w:val="32"/>
          <w:szCs w:val="32"/>
        </w:rPr>
      </w:pPr>
    </w:p>
    <w:p>
      <w:pPr>
        <w:adjustRightInd w:val="0"/>
        <w:snapToGrid w:val="0"/>
        <w:spacing w:line="560" w:lineRule="atLeast"/>
        <w:ind w:firstLine="640" w:firstLineChars="200"/>
        <w:rPr>
          <w:rFonts w:ascii="仿宋" w:hAnsi="仿宋" w:eastAsia="仿宋"/>
          <w:sz w:val="32"/>
          <w:szCs w:val="32"/>
        </w:rPr>
      </w:pPr>
    </w:p>
    <w:p>
      <w:pPr>
        <w:adjustRightInd w:val="0"/>
        <w:snapToGrid w:val="0"/>
        <w:spacing w:line="560" w:lineRule="atLeast"/>
        <w:ind w:firstLine="640" w:firstLineChars="200"/>
        <w:rPr>
          <w:rFonts w:ascii="仿宋" w:hAnsi="仿宋" w:eastAsia="仿宋"/>
          <w:sz w:val="32"/>
          <w:szCs w:val="32"/>
        </w:rPr>
      </w:pPr>
    </w:p>
    <w:p>
      <w:pPr>
        <w:adjustRightInd w:val="0"/>
        <w:snapToGrid w:val="0"/>
        <w:spacing w:line="560" w:lineRule="atLeast"/>
        <w:ind w:firstLine="640" w:firstLineChars="200"/>
        <w:rPr>
          <w:rFonts w:ascii="仿宋" w:hAnsi="仿宋" w:eastAsia="仿宋"/>
          <w:sz w:val="32"/>
          <w:szCs w:val="32"/>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08CEEF"/>
    <w:multiLevelType w:val="singleLevel"/>
    <w:tmpl w:val="A508CEEF"/>
    <w:lvl w:ilvl="0" w:tentative="0">
      <w:start w:val="6"/>
      <w:numFmt w:val="chineseCounting"/>
      <w:suff w:val="nothing"/>
      <w:lvlText w:val="（%1）"/>
      <w:lvlJc w:val="left"/>
      <w:rPr>
        <w:rFonts w:hint="eastAsia"/>
      </w:rPr>
    </w:lvl>
  </w:abstractNum>
  <w:abstractNum w:abstractNumId="1">
    <w:nsid w:val="AFDD8728"/>
    <w:multiLevelType w:val="singleLevel"/>
    <w:tmpl w:val="AFDD8728"/>
    <w:lvl w:ilvl="0" w:tentative="0">
      <w:start w:val="3"/>
      <w:numFmt w:val="chineseCounting"/>
      <w:suff w:val="nothing"/>
      <w:lvlText w:val="%1、"/>
      <w:lvlJc w:val="left"/>
      <w:rPr>
        <w:rFonts w:hint="eastAsia"/>
      </w:rPr>
    </w:lvl>
  </w:abstractNum>
  <w:abstractNum w:abstractNumId="2">
    <w:nsid w:val="BBAFB85F"/>
    <w:multiLevelType w:val="singleLevel"/>
    <w:tmpl w:val="BBAFB85F"/>
    <w:lvl w:ilvl="0" w:tentative="0">
      <w:start w:val="5"/>
      <w:numFmt w:val="chineseCounting"/>
      <w:suff w:val="nothing"/>
      <w:lvlText w:val="%1、"/>
      <w:lvlJc w:val="left"/>
      <w:rPr>
        <w:rFonts w:hint="eastAsia"/>
      </w:rPr>
    </w:lvl>
  </w:abstractNum>
  <w:abstractNum w:abstractNumId="3">
    <w:nsid w:val="40400BF9"/>
    <w:multiLevelType w:val="multilevel"/>
    <w:tmpl w:val="40400BF9"/>
    <w:lvl w:ilvl="0" w:tentative="0">
      <w:start w:val="1"/>
      <w:numFmt w:val="decimal"/>
      <w:suff w:val="nothing"/>
      <w:lvlText w:val="%1、"/>
      <w:lvlJc w:val="left"/>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4">
    <w:nsid w:val="579DA81A"/>
    <w:multiLevelType w:val="singleLevel"/>
    <w:tmpl w:val="579DA81A"/>
    <w:lvl w:ilvl="0" w:tentative="0">
      <w:start w:val="2"/>
      <w:numFmt w:val="chineseCounting"/>
      <w:suff w:val="nothing"/>
      <w:lvlText w:val="（%1）"/>
      <w:lvlJc w:val="left"/>
      <w:rPr>
        <w:rFonts w:hint="eastAsia"/>
      </w:rPr>
    </w:lvl>
  </w:abstractNum>
  <w:num w:numId="1">
    <w:abstractNumId w:val="4"/>
  </w:num>
  <w:num w:numId="2">
    <w:abstractNumId w:val="3"/>
  </w:num>
  <w:num w:numId="3">
    <w:abstractNumId w:val="3"/>
    <w:lvlOverride w:ilvl="0">
      <w:startOverride w:val="4"/>
    </w:lvlOverride>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CD9"/>
    <w:rsid w:val="0001084F"/>
    <w:rsid w:val="00047528"/>
    <w:rsid w:val="000F3352"/>
    <w:rsid w:val="001509B7"/>
    <w:rsid w:val="00185925"/>
    <w:rsid w:val="00192484"/>
    <w:rsid w:val="001B75B6"/>
    <w:rsid w:val="00211CFD"/>
    <w:rsid w:val="0022024E"/>
    <w:rsid w:val="00244AE4"/>
    <w:rsid w:val="00245F95"/>
    <w:rsid w:val="00247D6F"/>
    <w:rsid w:val="00284D1F"/>
    <w:rsid w:val="00287FAB"/>
    <w:rsid w:val="002B1D51"/>
    <w:rsid w:val="002F3EFF"/>
    <w:rsid w:val="00353CEA"/>
    <w:rsid w:val="003B4F42"/>
    <w:rsid w:val="00415650"/>
    <w:rsid w:val="00417827"/>
    <w:rsid w:val="00426078"/>
    <w:rsid w:val="004379EF"/>
    <w:rsid w:val="004B36AA"/>
    <w:rsid w:val="004C1BF0"/>
    <w:rsid w:val="00526C4A"/>
    <w:rsid w:val="0055096A"/>
    <w:rsid w:val="005752F1"/>
    <w:rsid w:val="00580CD9"/>
    <w:rsid w:val="005C17DB"/>
    <w:rsid w:val="00627D71"/>
    <w:rsid w:val="00644F98"/>
    <w:rsid w:val="006C468E"/>
    <w:rsid w:val="006F0B6C"/>
    <w:rsid w:val="00704EA3"/>
    <w:rsid w:val="007F0B75"/>
    <w:rsid w:val="00886063"/>
    <w:rsid w:val="00923ECF"/>
    <w:rsid w:val="00986AAC"/>
    <w:rsid w:val="00A11F9C"/>
    <w:rsid w:val="00AC3648"/>
    <w:rsid w:val="00AE2A46"/>
    <w:rsid w:val="00B41FBA"/>
    <w:rsid w:val="00B54B86"/>
    <w:rsid w:val="00B5576A"/>
    <w:rsid w:val="00B8702D"/>
    <w:rsid w:val="00C027DB"/>
    <w:rsid w:val="00C80DFD"/>
    <w:rsid w:val="00CE7A35"/>
    <w:rsid w:val="00D359A3"/>
    <w:rsid w:val="00D75BFE"/>
    <w:rsid w:val="00D92317"/>
    <w:rsid w:val="00DE6179"/>
    <w:rsid w:val="00E313A1"/>
    <w:rsid w:val="00E515E1"/>
    <w:rsid w:val="01C3183F"/>
    <w:rsid w:val="02424B9E"/>
    <w:rsid w:val="02785069"/>
    <w:rsid w:val="02C325A2"/>
    <w:rsid w:val="0362123E"/>
    <w:rsid w:val="03BD6DF0"/>
    <w:rsid w:val="03D726E8"/>
    <w:rsid w:val="03E047BF"/>
    <w:rsid w:val="040D7A0D"/>
    <w:rsid w:val="041A019D"/>
    <w:rsid w:val="04D517F9"/>
    <w:rsid w:val="06057864"/>
    <w:rsid w:val="0640396C"/>
    <w:rsid w:val="078153F3"/>
    <w:rsid w:val="08381B7D"/>
    <w:rsid w:val="085F359F"/>
    <w:rsid w:val="087C0947"/>
    <w:rsid w:val="095E54A3"/>
    <w:rsid w:val="098914FF"/>
    <w:rsid w:val="09C05460"/>
    <w:rsid w:val="0A044AB0"/>
    <w:rsid w:val="0A6100C2"/>
    <w:rsid w:val="0A9A07F9"/>
    <w:rsid w:val="0B5B120A"/>
    <w:rsid w:val="0BA22816"/>
    <w:rsid w:val="0BBF1CAC"/>
    <w:rsid w:val="0C500765"/>
    <w:rsid w:val="0C5C5AA5"/>
    <w:rsid w:val="0CD13FCD"/>
    <w:rsid w:val="0D15503F"/>
    <w:rsid w:val="0EB83510"/>
    <w:rsid w:val="0F4550F6"/>
    <w:rsid w:val="10E52FB3"/>
    <w:rsid w:val="12A3399F"/>
    <w:rsid w:val="12E55B21"/>
    <w:rsid w:val="13A33B21"/>
    <w:rsid w:val="14652F91"/>
    <w:rsid w:val="14BB77DE"/>
    <w:rsid w:val="15C53BD7"/>
    <w:rsid w:val="160C36B4"/>
    <w:rsid w:val="16975964"/>
    <w:rsid w:val="174415DB"/>
    <w:rsid w:val="176A2EED"/>
    <w:rsid w:val="18CA18B8"/>
    <w:rsid w:val="1B2C3DC0"/>
    <w:rsid w:val="1B545BAD"/>
    <w:rsid w:val="1B6E2183"/>
    <w:rsid w:val="1BC412AA"/>
    <w:rsid w:val="1C0B675B"/>
    <w:rsid w:val="1C27336F"/>
    <w:rsid w:val="1C3518C0"/>
    <w:rsid w:val="1C93092C"/>
    <w:rsid w:val="1D6803DD"/>
    <w:rsid w:val="1EF46747"/>
    <w:rsid w:val="1FBF6A4B"/>
    <w:rsid w:val="209435ED"/>
    <w:rsid w:val="21AA2CFD"/>
    <w:rsid w:val="21D543FF"/>
    <w:rsid w:val="22460430"/>
    <w:rsid w:val="22D379AE"/>
    <w:rsid w:val="22F05328"/>
    <w:rsid w:val="24DF7154"/>
    <w:rsid w:val="25A67603"/>
    <w:rsid w:val="25A75183"/>
    <w:rsid w:val="25DB21E0"/>
    <w:rsid w:val="26D01AF9"/>
    <w:rsid w:val="273D6BEB"/>
    <w:rsid w:val="27957096"/>
    <w:rsid w:val="281112FE"/>
    <w:rsid w:val="284B223E"/>
    <w:rsid w:val="28B25A7A"/>
    <w:rsid w:val="28C53B8D"/>
    <w:rsid w:val="29742D2C"/>
    <w:rsid w:val="29A501CA"/>
    <w:rsid w:val="2A0A2DD3"/>
    <w:rsid w:val="2A21619F"/>
    <w:rsid w:val="2AB0458A"/>
    <w:rsid w:val="2B460916"/>
    <w:rsid w:val="2B6428EE"/>
    <w:rsid w:val="2BEE7D75"/>
    <w:rsid w:val="2C4E6B15"/>
    <w:rsid w:val="2CD4768E"/>
    <w:rsid w:val="2D095D22"/>
    <w:rsid w:val="2E5776BE"/>
    <w:rsid w:val="2E61316F"/>
    <w:rsid w:val="2E923376"/>
    <w:rsid w:val="2F375407"/>
    <w:rsid w:val="2F8A4983"/>
    <w:rsid w:val="2FB7780E"/>
    <w:rsid w:val="2FCB65A7"/>
    <w:rsid w:val="30B37467"/>
    <w:rsid w:val="30D7311B"/>
    <w:rsid w:val="315B123E"/>
    <w:rsid w:val="317E5567"/>
    <w:rsid w:val="31DF5D3D"/>
    <w:rsid w:val="31FA52A9"/>
    <w:rsid w:val="32946492"/>
    <w:rsid w:val="3448785C"/>
    <w:rsid w:val="34CC24F3"/>
    <w:rsid w:val="35B775D9"/>
    <w:rsid w:val="360B3BF4"/>
    <w:rsid w:val="36DB67F0"/>
    <w:rsid w:val="378B0248"/>
    <w:rsid w:val="3831260F"/>
    <w:rsid w:val="38590736"/>
    <w:rsid w:val="386E09ED"/>
    <w:rsid w:val="39B75E90"/>
    <w:rsid w:val="39D71EBC"/>
    <w:rsid w:val="3A88274A"/>
    <w:rsid w:val="3B72738F"/>
    <w:rsid w:val="3B995BCD"/>
    <w:rsid w:val="3D854931"/>
    <w:rsid w:val="3DEA5527"/>
    <w:rsid w:val="3F465150"/>
    <w:rsid w:val="3FCA3C53"/>
    <w:rsid w:val="3FD968F6"/>
    <w:rsid w:val="406718A5"/>
    <w:rsid w:val="407100F6"/>
    <w:rsid w:val="40F01873"/>
    <w:rsid w:val="414916A8"/>
    <w:rsid w:val="42255F84"/>
    <w:rsid w:val="43485FD9"/>
    <w:rsid w:val="44602461"/>
    <w:rsid w:val="45236580"/>
    <w:rsid w:val="455044FE"/>
    <w:rsid w:val="455327A7"/>
    <w:rsid w:val="460770BC"/>
    <w:rsid w:val="460A1B4A"/>
    <w:rsid w:val="46E042B7"/>
    <w:rsid w:val="46F11374"/>
    <w:rsid w:val="47490592"/>
    <w:rsid w:val="47F31A40"/>
    <w:rsid w:val="48894152"/>
    <w:rsid w:val="4A317D7B"/>
    <w:rsid w:val="4A7105A7"/>
    <w:rsid w:val="4AB348D9"/>
    <w:rsid w:val="4AEA23E6"/>
    <w:rsid w:val="4AEC511D"/>
    <w:rsid w:val="4BC64988"/>
    <w:rsid w:val="4BC70950"/>
    <w:rsid w:val="4C0E6048"/>
    <w:rsid w:val="4C7C0D09"/>
    <w:rsid w:val="4DA11BA8"/>
    <w:rsid w:val="4E8B2135"/>
    <w:rsid w:val="4F8661A8"/>
    <w:rsid w:val="503943D0"/>
    <w:rsid w:val="50D41199"/>
    <w:rsid w:val="50EE7293"/>
    <w:rsid w:val="522F5A39"/>
    <w:rsid w:val="528408B1"/>
    <w:rsid w:val="54403D77"/>
    <w:rsid w:val="548C5054"/>
    <w:rsid w:val="5570702D"/>
    <w:rsid w:val="5740616D"/>
    <w:rsid w:val="57672231"/>
    <w:rsid w:val="587E10CC"/>
    <w:rsid w:val="595F2BC4"/>
    <w:rsid w:val="5A065064"/>
    <w:rsid w:val="5A7526AE"/>
    <w:rsid w:val="5BAA6FC3"/>
    <w:rsid w:val="5D0555D6"/>
    <w:rsid w:val="5D4D70A4"/>
    <w:rsid w:val="5E2269D6"/>
    <w:rsid w:val="5EA3053E"/>
    <w:rsid w:val="5EE1266C"/>
    <w:rsid w:val="5FB721A5"/>
    <w:rsid w:val="62F5499D"/>
    <w:rsid w:val="63B337E1"/>
    <w:rsid w:val="64C57DF8"/>
    <w:rsid w:val="651D116D"/>
    <w:rsid w:val="65464086"/>
    <w:rsid w:val="65A118FC"/>
    <w:rsid w:val="65E90708"/>
    <w:rsid w:val="65F60DC5"/>
    <w:rsid w:val="662A7C9F"/>
    <w:rsid w:val="689B15BA"/>
    <w:rsid w:val="68AB0BB6"/>
    <w:rsid w:val="6AF82303"/>
    <w:rsid w:val="6B751B58"/>
    <w:rsid w:val="6BA5684F"/>
    <w:rsid w:val="6C0256DF"/>
    <w:rsid w:val="6C6670AB"/>
    <w:rsid w:val="6DF50CDD"/>
    <w:rsid w:val="6E017FB2"/>
    <w:rsid w:val="6E804FDE"/>
    <w:rsid w:val="70623765"/>
    <w:rsid w:val="70D80D3E"/>
    <w:rsid w:val="71BF3E00"/>
    <w:rsid w:val="71E03888"/>
    <w:rsid w:val="72301114"/>
    <w:rsid w:val="729F089A"/>
    <w:rsid w:val="72B74DB5"/>
    <w:rsid w:val="73650868"/>
    <w:rsid w:val="749034A1"/>
    <w:rsid w:val="74A0420A"/>
    <w:rsid w:val="75243C7C"/>
    <w:rsid w:val="752D6A3B"/>
    <w:rsid w:val="7542707A"/>
    <w:rsid w:val="76E30C2F"/>
    <w:rsid w:val="77C052C1"/>
    <w:rsid w:val="78497948"/>
    <w:rsid w:val="788C4663"/>
    <w:rsid w:val="79370991"/>
    <w:rsid w:val="79602881"/>
    <w:rsid w:val="79C97F12"/>
    <w:rsid w:val="7ACB44DF"/>
    <w:rsid w:val="7C8463BF"/>
    <w:rsid w:val="7C933DDC"/>
    <w:rsid w:val="7CEB2F17"/>
    <w:rsid w:val="7D453CB1"/>
    <w:rsid w:val="7D9C5800"/>
    <w:rsid w:val="7DA83557"/>
    <w:rsid w:val="7E353E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7"/>
    <w:semiHidden/>
    <w:unhideWhenUsed/>
    <w:qFormat/>
    <w:uiPriority w:val="99"/>
    <w:pPr>
      <w:tabs>
        <w:tab w:val="center" w:pos="4153"/>
        <w:tab w:val="right" w:pos="8306"/>
      </w:tabs>
      <w:snapToGrid w:val="0"/>
      <w:jc w:val="left"/>
    </w:pPr>
    <w:rPr>
      <w:sz w:val="18"/>
      <w:szCs w:val="18"/>
    </w:rPr>
  </w:style>
  <w:style w:type="paragraph" w:styleId="3">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spacing w:before="100" w:beforeAutospacing="1" w:after="100" w:afterAutospacing="1"/>
      <w:jc w:val="left"/>
    </w:pPr>
    <w:rPr>
      <w:rFonts w:ascii="Calibri" w:hAnsi="Calibri" w:eastAsia="宋体"/>
      <w:color w:val="000000"/>
      <w:kern w:val="0"/>
      <w:sz w:val="24"/>
    </w:rPr>
  </w:style>
  <w:style w:type="character" w:styleId="7">
    <w:name w:val="Strong"/>
    <w:basedOn w:val="6"/>
    <w:qFormat/>
    <w:uiPriority w:val="0"/>
    <w:rPr>
      <w:b/>
      <w:bCs/>
    </w:rPr>
  </w:style>
  <w:style w:type="paragraph" w:styleId="8">
    <w:name w:val="List Paragraph"/>
    <w:basedOn w:val="1"/>
    <w:qFormat/>
    <w:uiPriority w:val="34"/>
    <w:pPr>
      <w:ind w:firstLine="420" w:firstLineChars="200"/>
    </w:pPr>
  </w:style>
  <w:style w:type="paragraph" w:customStyle="1" w:styleId="9">
    <w:name w:val="Body text|1"/>
    <w:basedOn w:val="1"/>
    <w:link w:val="15"/>
    <w:qFormat/>
    <w:uiPriority w:val="0"/>
    <w:pPr>
      <w:spacing w:line="420" w:lineRule="auto"/>
      <w:ind w:firstLine="400"/>
    </w:pPr>
    <w:rPr>
      <w:rFonts w:ascii="宋体" w:hAnsi="宋体" w:eastAsia="宋体" w:cs="宋体"/>
      <w:szCs w:val="30"/>
      <w:lang w:val="zh-TW" w:eastAsia="zh-TW" w:bidi="zh-TW"/>
    </w:rPr>
  </w:style>
  <w:style w:type="paragraph" w:customStyle="1" w:styleId="10">
    <w:name w:val="闻政正文"/>
    <w:basedOn w:val="1"/>
    <w:qFormat/>
    <w:uiPriority w:val="99"/>
    <w:pPr>
      <w:spacing w:line="500" w:lineRule="exact"/>
      <w:ind w:firstLine="883" w:firstLineChars="200"/>
    </w:pPr>
    <w:rPr>
      <w:kern w:val="0"/>
      <w:sz w:val="28"/>
      <w:szCs w:val="28"/>
    </w:rPr>
  </w:style>
  <w:style w:type="paragraph" w:customStyle="1" w:styleId="11">
    <w:name w:val="Other|1"/>
    <w:basedOn w:val="1"/>
    <w:qFormat/>
    <w:uiPriority w:val="0"/>
    <w:pPr>
      <w:spacing w:line="420" w:lineRule="auto"/>
      <w:ind w:firstLine="400"/>
    </w:pPr>
    <w:rPr>
      <w:rFonts w:ascii="宋体" w:hAnsi="宋体" w:eastAsia="宋体" w:cs="宋体"/>
      <w:szCs w:val="30"/>
      <w:lang w:val="zh-TW" w:eastAsia="zh-TW" w:bidi="zh-TW"/>
    </w:rPr>
  </w:style>
  <w:style w:type="paragraph" w:customStyle="1" w:styleId="12">
    <w:name w:val="闻政-正文三级标题"/>
    <w:basedOn w:val="1"/>
    <w:next w:val="13"/>
    <w:qFormat/>
    <w:uiPriority w:val="3"/>
    <w:pPr>
      <w:widowControl/>
      <w:spacing w:before="120" w:after="60" w:line="500" w:lineRule="exact"/>
      <w:ind w:left="200" w:leftChars="200"/>
    </w:pPr>
    <w:rPr>
      <w:b/>
      <w:snapToGrid w:val="0"/>
      <w:kern w:val="0"/>
      <w:szCs w:val="28"/>
    </w:rPr>
  </w:style>
  <w:style w:type="paragraph" w:customStyle="1" w:styleId="13">
    <w:name w:val="闻政-正文段落文字"/>
    <w:basedOn w:val="1"/>
    <w:qFormat/>
    <w:uiPriority w:val="3"/>
    <w:pPr>
      <w:spacing w:line="500" w:lineRule="exact"/>
      <w:ind w:firstLine="200"/>
    </w:pPr>
    <w:rPr>
      <w:kern w:val="0"/>
      <w:szCs w:val="28"/>
    </w:rPr>
  </w:style>
  <w:style w:type="paragraph" w:customStyle="1" w:styleId="14">
    <w:name w:val="Header or footer|2"/>
    <w:basedOn w:val="1"/>
    <w:qFormat/>
    <w:uiPriority w:val="0"/>
    <w:rPr>
      <w:sz w:val="20"/>
      <w:szCs w:val="20"/>
    </w:rPr>
  </w:style>
  <w:style w:type="character" w:customStyle="1" w:styleId="15">
    <w:name w:val="Body text|1_"/>
    <w:link w:val="9"/>
    <w:qFormat/>
    <w:uiPriority w:val="0"/>
    <w:rPr>
      <w:rFonts w:ascii="宋体" w:hAnsi="宋体" w:cs="宋体"/>
      <w:kern w:val="2"/>
      <w:sz w:val="30"/>
      <w:szCs w:val="30"/>
      <w:lang w:val="zh-TW" w:eastAsia="zh-TW" w:bidi="zh-TW"/>
    </w:rPr>
  </w:style>
  <w:style w:type="character" w:customStyle="1" w:styleId="16">
    <w:name w:val="页眉 Char"/>
    <w:basedOn w:val="6"/>
    <w:link w:val="3"/>
    <w:semiHidden/>
    <w:qFormat/>
    <w:uiPriority w:val="99"/>
    <w:rPr>
      <w:rFonts w:ascii="Times New Roman" w:hAnsi="Times New Roman" w:eastAsia="仿宋_GB2312"/>
      <w:kern w:val="2"/>
      <w:sz w:val="18"/>
      <w:szCs w:val="18"/>
    </w:rPr>
  </w:style>
  <w:style w:type="character" w:customStyle="1" w:styleId="17">
    <w:name w:val="页脚 Char"/>
    <w:basedOn w:val="6"/>
    <w:link w:val="2"/>
    <w:semiHidden/>
    <w:qFormat/>
    <w:uiPriority w:val="99"/>
    <w:rPr>
      <w:rFonts w:ascii="Times New Roman" w:hAnsi="Times New Roman" w:eastAsia="仿宋_GB2312"/>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28941CB-8E6A-4DB4-95A0-67232EEDBBCF}">
  <ds:schemaRefs/>
</ds:datastoreItem>
</file>

<file path=docProps/app.xml><?xml version="1.0" encoding="utf-8"?>
<Properties xmlns="http://schemas.openxmlformats.org/officeDocument/2006/extended-properties" xmlns:vt="http://schemas.openxmlformats.org/officeDocument/2006/docPropsVTypes">
  <Template>Normal.dotm</Template>
  <Pages>18</Pages>
  <Words>1199</Words>
  <Characters>6840</Characters>
  <Lines>57</Lines>
  <Paragraphs>16</Paragraphs>
  <TotalTime>0</TotalTime>
  <ScaleCrop>false</ScaleCrop>
  <LinksUpToDate>false</LinksUpToDate>
  <CharactersWithSpaces>8023</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2020-04-23T03:26:00Z</dcterms:created>
  <dc:creator>Administrator</dc:creator>
  <cp:lastModifiedBy>吴韬</cp:lastModifiedBy>
  <dcterms:modified xsi:type="dcterms:W3CDTF">2021-03-25T13:53:28Z</dcterms:modified>
  <cp:revision>140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09C791CDC7ED4B5EB14697EF296D3315</vt:lpwstr>
  </property>
</Properties>
</file>