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基本公共卫生服务经费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乌尔禾区疾控中心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乌尔禾区疾控中心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欧尔日力玛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2024年05月15日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根据《中华人民共和国疫苗管理法》《中华人民共和国传染病防治法》，依据妇幼保健“一法两纲”《中华人民共和国母婴保健法》、《新疆维吾尔自治区妇女发展纲要》（2011-2020）及《新疆维吾尔自治区儿童发展纲要》（2011-2020）开展全市妇幼保健工作规定，规范围产保健、儿童保健管理，做好高危孕产妇的管理。做好预防艾滋病、梅毒、乙肝母婴传播、新生儿疾病筛查、新生儿听力筛查、提高疫苗接种率等基本公共卫生项目工作，有效地预防疾病的发生。</w:t>
        <w:br/>
        <w:t>2、项目主要内容：</w:t>
        <w:br/>
        <w:t>项目主要内容：提高全区适龄儿童疫苗免疫接种率，提高其预防传染病的抗体水平，除低全区疫苗可预防疾病发生率和提高人群免疫水平。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该项目年初预算数12.37万元，全年预算数12.37万元，实际总投入12.37万元，该项目资金已全部落实到位，资金来源为年初预算。</w:t>
        <w:br/>
        <w:t>（2）资金使用情况</w:t>
        <w:br/>
        <w:t>该项目年初预算数12.37万元，全年预算数12.37万元,全年执行数12.37万元，预算执行率为100%。</w:t>
        <w:br/>
        <w:t>主要用于：</w:t>
        <w:br/>
        <w:t>开展狂犬、水痘疫苗、流感病毒裂解及四价流感疫苗、重组乙型肝炎疫苗接种购置工作，共12.37万元。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依据妇幼保健“一法两纲”《中华人民共和国母婴保健法》、《新疆维吾尔自治区妇女发展纲要》（2011-2020）及《新疆维吾尔自治区儿童发展纲要》（2011-2020）开展全市妇幼保健工作，维护妇女儿童健康权益。加强全区免疫规划管理和儿童预防接种信息化建设，提高全区适龄儿童疫苗免疫接种率，提高其预防传染病的抗体水平，除低全区疫苗可预防疾病发生率和提高人群免疫水平</w:t>
        <w:br/>
        <w:t>2、阶段性目标</w:t>
        <w:br/>
        <w:t>无。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基本公共卫生服务项目所包含的全部项目内容。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基本公共卫生服务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（良/中/差）”。其中，项目决策类指标权重为20分，得分为20分，得分率为 100%。项目过程类指标权重为20分，得分为20分，得分率为100%。项目产出类指标权重为40分，得分为40分，得分率为100%。项目效益类指标权重为20分，得分为20分，得分率为100%。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本项目总投资12.37万元，财政资金及时足额到位，到位率100%，预算资金按计划进度执行。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预算编制较为详细，项目资金支出总体能够按照预算执行，预算资金支出12.37万元，预算执行率为100%。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指标1：购买疫苗数量，指标值：&gt;=950支，实际完成值：=950支，指标完成率100%，</w:t>
        <w:br/>
        <w:t>②质量指标：</w:t>
        <w:br/>
        <w:t>指标1：购买疫苗质量合格率，指标值：&gt;=100%，实际完成值：=100%，指标完成率100%。</w:t>
        <w:br/>
        <w:t>③时效指标：</w:t>
        <w:br/>
        <w:t>指标1：疫苗采购及时性，指标值：&gt;=80%，实际完成值：=80%，指标完成率100%。</w:t>
        <w:br/>
        <w:t>④成本指标：</w:t>
        <w:br/>
        <w:t>指标1：购买疫苗成本，指标值：&lt;=12.36万元/批，实际完成值：=12.36万元/批，指标完成率100%，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社会效益指标：提高居民疾病防治知识知晓率，完成率提高了居民对各类传染病危害因素的防范意识；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满意度指标：辖区群众对基本公共卫生服务工作满意度大于80%，实际完成值达95%。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