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仿宋_GB2312" w:eastAsia="仿宋_GB2312" w:cs="仿宋_GB2312"/>
          <w:color w:val="000000"/>
          <w:kern w:val="0"/>
          <w:sz w:val="44"/>
          <w:szCs w:val="44"/>
          <w:lang w:bidi="ar"/>
        </w:rPr>
      </w:pPr>
    </w:p>
    <w:p>
      <w:pPr>
        <w:spacing w:line="560" w:lineRule="exact"/>
        <w:jc w:val="center"/>
        <w:rPr>
          <w:rFonts w:hint="eastAsia"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eastAsia="zh-CN" w:bidi="ar"/>
        </w:rPr>
        <w:t>乌尔禾区</w:t>
      </w:r>
      <w:r>
        <w:rPr>
          <w:rFonts w:hint="eastAsia" w:ascii="仿宋_GB2312" w:hAnsi="仿宋_GB2312" w:eastAsia="仿宋_GB2312" w:cs="仿宋_GB2312"/>
          <w:b/>
          <w:bCs/>
          <w:color w:val="000000"/>
          <w:kern w:val="0"/>
          <w:sz w:val="44"/>
          <w:szCs w:val="44"/>
          <w:lang w:bidi="ar"/>
        </w:rPr>
        <w:t>项目支出绩效评价报告</w:t>
      </w:r>
    </w:p>
    <w:p>
      <w:pPr>
        <w:jc w:val="center"/>
        <w:rPr>
          <w:rFonts w:hint="eastAsia" w:ascii="仿宋_GB2312" w:hAnsi="仿宋_GB2312" w:eastAsia="仿宋_GB2312" w:cs="仿宋_GB2312"/>
          <w:color w:val="000000"/>
          <w:kern w:val="0"/>
          <w:sz w:val="44"/>
          <w:szCs w:val="44"/>
          <w:lang w:bidi="ar"/>
        </w:rPr>
      </w:pPr>
    </w:p>
    <w:p>
      <w:pPr>
        <w:jc w:val="center"/>
        <w:rPr>
          <w:rFonts w:hint="eastAsia" w:ascii="宋体" w:hAnsi="宋体" w:cs="Arial"/>
          <w:b/>
          <w:bCs/>
          <w:sz w:val="36"/>
          <w:szCs w:val="36"/>
        </w:rPr>
      </w:pPr>
      <w:r>
        <w:rPr>
          <w:rFonts w:hint="eastAsia" w:ascii="宋体" w:hAnsi="宋体" w:cs="Arial"/>
          <w:b/>
          <w:bCs/>
          <w:sz w:val="36"/>
          <w:szCs w:val="36"/>
        </w:rPr>
        <w:t>（2019年度）</w:t>
      </w:r>
    </w:p>
    <w:p>
      <w:pPr>
        <w:spacing w:line="480" w:lineRule="auto"/>
        <w:jc w:val="center"/>
        <w:rPr>
          <w:rFonts w:hint="eastAsia" w:ascii="仿宋_GB2312" w:hAnsi="仿宋_GB2312" w:eastAsia="仿宋_GB2312" w:cs="仿宋_GB2312"/>
          <w:b/>
          <w:kern w:val="0"/>
          <w:sz w:val="50"/>
          <w:szCs w:val="50"/>
          <w:lang w:bidi="en-US"/>
        </w:rPr>
      </w:pPr>
    </w:p>
    <w:p>
      <w:pPr>
        <w:spacing w:line="480" w:lineRule="auto"/>
        <w:jc w:val="center"/>
        <w:rPr>
          <w:rFonts w:hint="eastAsia" w:ascii="仿宋_GB2312" w:hAnsi="仿宋_GB2312" w:eastAsia="仿宋_GB2312" w:cs="仿宋_GB2312"/>
          <w:b/>
          <w:kern w:val="0"/>
          <w:sz w:val="50"/>
          <w:szCs w:val="50"/>
          <w:lang w:bidi="en-US"/>
        </w:rPr>
      </w:pPr>
    </w:p>
    <w:p>
      <w:pPr>
        <w:spacing w:line="480" w:lineRule="auto"/>
        <w:jc w:val="center"/>
        <w:rPr>
          <w:rFonts w:hint="eastAsia" w:ascii="仿宋_GB2312" w:hAnsi="仿宋_GB2312" w:eastAsia="仿宋_GB2312" w:cs="仿宋_GB2312"/>
          <w:b/>
          <w:kern w:val="0"/>
          <w:sz w:val="50"/>
          <w:szCs w:val="50"/>
          <w:lang w:bidi="en-US"/>
        </w:rPr>
      </w:pPr>
    </w:p>
    <w:p>
      <w:pPr>
        <w:spacing w:line="480" w:lineRule="auto"/>
        <w:jc w:val="center"/>
        <w:rPr>
          <w:rFonts w:hint="eastAsia" w:ascii="仿宋_GB2312" w:hAnsi="仿宋_GB2312" w:eastAsia="仿宋_GB2312" w:cs="仿宋_GB2312"/>
          <w:b/>
          <w:kern w:val="0"/>
          <w:sz w:val="50"/>
          <w:szCs w:val="50"/>
          <w:lang w:bidi="en-US"/>
        </w:rPr>
      </w:pPr>
    </w:p>
    <w:p>
      <w:pPr>
        <w:spacing w:line="480" w:lineRule="auto"/>
        <w:jc w:val="center"/>
        <w:rPr>
          <w:rFonts w:hint="eastAsia" w:ascii="仿宋_GB2312" w:hAnsi="仿宋_GB2312" w:eastAsia="仿宋_GB2312" w:cs="仿宋_GB2312"/>
          <w:b/>
          <w:kern w:val="0"/>
          <w:sz w:val="50"/>
          <w:szCs w:val="50"/>
          <w:lang w:bidi="en-US"/>
        </w:rPr>
      </w:pPr>
    </w:p>
    <w:p>
      <w:pPr>
        <w:spacing w:line="560" w:lineRule="exact"/>
        <w:rPr>
          <w:rFonts w:hint="eastAsia" w:ascii="仿宋_GB2312" w:hAnsi="仿宋_GB2312" w:eastAsia="仿宋_GB2312" w:cs="仿宋_GB2312"/>
          <w:color w:val="000000"/>
          <w:kern w:val="0"/>
          <w:sz w:val="36"/>
          <w:szCs w:val="36"/>
          <w:lang w:eastAsia="zh-CN" w:bidi="ar"/>
        </w:rPr>
      </w:pPr>
      <w:r>
        <w:rPr>
          <w:rFonts w:hint="eastAsia" w:ascii="仿宋_GB2312" w:hAnsi="仿宋_GB2312" w:eastAsia="仿宋_GB2312" w:cs="仿宋_GB2312"/>
          <w:color w:val="000000"/>
          <w:kern w:val="0"/>
          <w:sz w:val="36"/>
          <w:szCs w:val="36"/>
          <w:lang w:bidi="ar"/>
        </w:rPr>
        <w:t>项目名称：</w:t>
      </w:r>
      <w:r>
        <w:rPr>
          <w:rFonts w:hint="eastAsia" w:ascii="仿宋_GB2312" w:hAnsi="仿宋_GB2312" w:eastAsia="仿宋_GB2312" w:cs="仿宋_GB2312"/>
          <w:color w:val="000000"/>
          <w:kern w:val="0"/>
          <w:sz w:val="36"/>
          <w:szCs w:val="36"/>
          <w:lang w:eastAsia="zh-CN" w:bidi="ar"/>
        </w:rPr>
        <w:t>专项经费</w:t>
      </w:r>
    </w:p>
    <w:p>
      <w:pPr>
        <w:spacing w:line="560" w:lineRule="exact"/>
        <w:rPr>
          <w:rFonts w:hint="eastAsia" w:ascii="仿宋_GB2312" w:hAnsi="仿宋_GB2312" w:eastAsia="仿宋_GB2312" w:cs="仿宋_GB2312"/>
          <w:color w:val="000000"/>
          <w:kern w:val="0"/>
          <w:sz w:val="36"/>
          <w:szCs w:val="36"/>
          <w:lang w:bidi="ar"/>
        </w:rPr>
      </w:pPr>
    </w:p>
    <w:p>
      <w:pPr>
        <w:spacing w:line="560" w:lineRule="exact"/>
        <w:rPr>
          <w:rFonts w:hint="eastAsia" w:ascii="仿宋_GB2312" w:hAnsi="仿宋_GB2312" w:eastAsia="仿宋_GB2312" w:cs="仿宋_GB2312"/>
          <w:color w:val="000000"/>
          <w:kern w:val="0"/>
          <w:sz w:val="36"/>
          <w:szCs w:val="36"/>
          <w:lang w:eastAsia="zh-CN" w:bidi="ar"/>
        </w:rPr>
      </w:pPr>
      <w:r>
        <w:rPr>
          <w:rFonts w:hint="eastAsia" w:ascii="仿宋_GB2312" w:hAnsi="仿宋_GB2312" w:eastAsia="仿宋_GB2312" w:cs="仿宋_GB2312"/>
          <w:color w:val="000000"/>
          <w:kern w:val="0"/>
          <w:sz w:val="36"/>
          <w:szCs w:val="36"/>
          <w:lang w:bidi="ar"/>
        </w:rPr>
        <w:t>项目单位：</w:t>
      </w:r>
      <w:r>
        <w:rPr>
          <w:rFonts w:hint="eastAsia" w:ascii="仿宋_GB2312" w:hAnsi="仿宋_GB2312" w:eastAsia="仿宋_GB2312" w:cs="仿宋_GB2312"/>
          <w:color w:val="000000"/>
          <w:kern w:val="0"/>
          <w:sz w:val="36"/>
          <w:szCs w:val="36"/>
          <w:lang w:eastAsia="zh-CN" w:bidi="ar"/>
        </w:rPr>
        <w:t>乌尔禾区委政法委</w:t>
      </w:r>
    </w:p>
    <w:p>
      <w:pPr>
        <w:spacing w:line="560" w:lineRule="exact"/>
        <w:rPr>
          <w:rFonts w:hint="eastAsia" w:ascii="仿宋_GB2312" w:hAnsi="仿宋_GB2312" w:eastAsia="仿宋_GB2312" w:cs="仿宋_GB2312"/>
          <w:color w:val="000000"/>
          <w:kern w:val="0"/>
          <w:sz w:val="36"/>
          <w:szCs w:val="36"/>
          <w:lang w:bidi="ar"/>
        </w:rPr>
      </w:pPr>
    </w:p>
    <w:p>
      <w:pPr>
        <w:spacing w:line="560" w:lineRule="exact"/>
        <w:rPr>
          <w:rFonts w:hint="eastAsia" w:ascii="仿宋_GB2312" w:hAnsi="仿宋_GB2312" w:eastAsia="仿宋_GB2312" w:cs="仿宋_GB2312"/>
          <w:color w:val="000000"/>
          <w:kern w:val="0"/>
          <w:sz w:val="36"/>
          <w:szCs w:val="36"/>
          <w:lang w:eastAsia="zh-CN" w:bidi="ar"/>
        </w:rPr>
      </w:pPr>
      <w:r>
        <w:rPr>
          <w:rFonts w:hint="eastAsia" w:ascii="仿宋_GB2312" w:hAnsi="仿宋_GB2312" w:eastAsia="仿宋_GB2312" w:cs="仿宋_GB2312"/>
          <w:color w:val="000000"/>
          <w:kern w:val="0"/>
          <w:sz w:val="36"/>
          <w:szCs w:val="36"/>
          <w:lang w:bidi="ar"/>
        </w:rPr>
        <w:t>主管部门：</w:t>
      </w:r>
      <w:r>
        <w:rPr>
          <w:rFonts w:hint="eastAsia" w:ascii="仿宋_GB2312" w:hAnsi="仿宋_GB2312" w:eastAsia="仿宋_GB2312" w:cs="仿宋_GB2312"/>
          <w:color w:val="000000"/>
          <w:kern w:val="0"/>
          <w:sz w:val="36"/>
          <w:szCs w:val="36"/>
          <w:lang w:eastAsia="zh-CN" w:bidi="ar"/>
        </w:rPr>
        <w:t>乌尔禾区委政法委</w:t>
      </w:r>
    </w:p>
    <w:p>
      <w:pPr>
        <w:spacing w:line="560" w:lineRule="exact"/>
        <w:rPr>
          <w:rFonts w:hint="eastAsia" w:ascii="仿宋_GB2312" w:hAnsi="仿宋_GB2312" w:eastAsia="仿宋_GB2312" w:cs="仿宋_GB2312"/>
          <w:color w:val="000000"/>
          <w:kern w:val="0"/>
          <w:sz w:val="36"/>
          <w:szCs w:val="36"/>
          <w:lang w:bidi="ar"/>
        </w:rPr>
      </w:pPr>
    </w:p>
    <w:p>
      <w:pPr>
        <w:spacing w:line="560" w:lineRule="exact"/>
        <w:rPr>
          <w:rFonts w:hint="eastAsia" w:ascii="仿宋_GB2312" w:hAnsi="仿宋_GB2312" w:eastAsia="仿宋_GB2312" w:cs="仿宋_GB2312"/>
          <w:color w:val="000000"/>
          <w:kern w:val="0"/>
          <w:sz w:val="36"/>
          <w:szCs w:val="36"/>
          <w:lang w:bidi="ar"/>
        </w:rPr>
      </w:pPr>
    </w:p>
    <w:p>
      <w:pPr>
        <w:spacing w:line="560" w:lineRule="exact"/>
        <w:rPr>
          <w:rFonts w:hint="eastAsia" w:ascii="仿宋_GB2312" w:hAnsi="仿宋_GB2312" w:eastAsia="仿宋_GB2312" w:cs="仿宋_GB2312"/>
          <w:color w:val="000000"/>
          <w:kern w:val="0"/>
          <w:sz w:val="36"/>
          <w:szCs w:val="36"/>
          <w:lang w:bidi="ar"/>
        </w:rPr>
      </w:pPr>
    </w:p>
    <w:p>
      <w:pPr>
        <w:rPr>
          <w:rFonts w:hint="eastAsia" w:ascii="仿宋_GB2312" w:hAnsi="仿宋_GB2312" w:eastAsia="仿宋_GB2312" w:cs="仿宋_GB2312"/>
          <w:color w:val="000000"/>
          <w:kern w:val="0"/>
          <w:sz w:val="36"/>
          <w:szCs w:val="36"/>
          <w:lang w:bidi="ar"/>
        </w:rPr>
      </w:pPr>
    </w:p>
    <w:p>
      <w:pPr>
        <w:jc w:val="center"/>
        <w:rPr>
          <w:rFonts w:ascii="仿宋_GB2312" w:hAnsi="Times New Roman" w:eastAsia="仿宋_GB2312"/>
          <w:sz w:val="30"/>
          <w:szCs w:val="30"/>
        </w:rPr>
      </w:pPr>
      <w:r>
        <w:rPr>
          <w:rFonts w:hint="eastAsia" w:ascii="仿宋_GB2312" w:hAnsi="Times New Roman" w:eastAsia="仿宋_GB2312"/>
          <w:sz w:val="30"/>
          <w:szCs w:val="30"/>
        </w:rPr>
        <w:t>2020年4月23日</w:t>
      </w:r>
    </w:p>
    <w:p>
      <w:pPr>
        <w:rPr>
          <w:rFonts w:ascii="仿宋_GB2312" w:hAnsi="Times New Roman" w:eastAsia="仿宋_GB2312"/>
          <w:sz w:val="30"/>
          <w:szCs w:val="30"/>
        </w:rPr>
      </w:pPr>
    </w:p>
    <w:p>
      <w:pPr>
        <w:rPr>
          <w:rFonts w:ascii="仿宋_GB2312" w:hAnsi="Times New Roman" w:eastAsia="仿宋_GB2312"/>
          <w:sz w:val="30"/>
          <w:szCs w:val="30"/>
        </w:rPr>
      </w:pPr>
    </w:p>
    <w:p>
      <w:pPr>
        <w:spacing w:line="600" w:lineRule="exact"/>
        <w:ind w:firstLine="600" w:firstLineChars="200"/>
        <w:rPr>
          <w:rFonts w:ascii="黑体" w:hAnsi="黑体" w:eastAsia="黑体"/>
          <w:sz w:val="30"/>
          <w:szCs w:val="24"/>
        </w:rPr>
      </w:pPr>
      <w:r>
        <w:rPr>
          <w:rFonts w:hint="eastAsia" w:ascii="黑体" w:hAnsi="黑体" w:eastAsia="黑体"/>
          <w:sz w:val="30"/>
          <w:szCs w:val="24"/>
        </w:rPr>
        <w:t>一、基本情况</w:t>
      </w:r>
    </w:p>
    <w:p>
      <w:pPr>
        <w:spacing w:line="600" w:lineRule="exact"/>
        <w:ind w:firstLine="600" w:firstLineChars="200"/>
        <w:outlineLvl w:val="0"/>
        <w:rPr>
          <w:rFonts w:hint="eastAsia" w:ascii="仿宋_GB2312" w:hAnsi="Times New Roman" w:eastAsia="仿宋_GB2312"/>
          <w:sz w:val="30"/>
          <w:szCs w:val="24"/>
        </w:rPr>
      </w:pPr>
      <w:r>
        <w:rPr>
          <w:rFonts w:hint="eastAsia" w:ascii="仿宋_GB2312" w:hAnsi="Times New Roman" w:eastAsia="仿宋_GB2312"/>
          <w:sz w:val="30"/>
          <w:szCs w:val="24"/>
        </w:rPr>
        <w:t>（一）项目概况</w:t>
      </w:r>
    </w:p>
    <w:p>
      <w:pPr>
        <w:spacing w:line="600" w:lineRule="exact"/>
        <w:ind w:firstLine="600" w:firstLineChars="200"/>
        <w:outlineLvl w:val="0"/>
        <w:rPr>
          <w:rFonts w:hint="eastAsia" w:ascii="仿宋_GB2312" w:hAnsi="Times New Roman" w:eastAsia="仿宋_GB2312"/>
          <w:sz w:val="30"/>
          <w:szCs w:val="24"/>
        </w:rPr>
      </w:pPr>
      <w:r>
        <w:rPr>
          <w:rFonts w:hint="eastAsia" w:ascii="仿宋_GB2312" w:hAnsi="Times New Roman" w:eastAsia="仿宋_GB2312"/>
          <w:sz w:val="30"/>
          <w:szCs w:val="24"/>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sz w:val="30"/>
          <w:szCs w:val="24"/>
          <w:lang w:eastAsia="zh-CN"/>
        </w:rPr>
      </w:pPr>
      <w:r>
        <w:rPr>
          <w:rFonts w:hint="eastAsia" w:ascii="仿宋_GB2312" w:hAnsi="Times New Roman" w:eastAsia="仿宋_GB2312"/>
          <w:sz w:val="30"/>
          <w:szCs w:val="24"/>
          <w:lang w:eastAsia="zh-CN"/>
        </w:rPr>
        <w:t>专项经费</w:t>
      </w:r>
      <w:r>
        <w:rPr>
          <w:rFonts w:hint="eastAsia" w:ascii="仿宋_GB2312" w:hAnsi="Times New Roman" w:eastAsia="仿宋_GB2312"/>
          <w:sz w:val="30"/>
          <w:szCs w:val="24"/>
        </w:rPr>
        <w:t>是</w:t>
      </w:r>
      <w:r>
        <w:rPr>
          <w:rFonts w:hint="eastAsia" w:ascii="仿宋_GB2312" w:hAnsi="Times New Roman" w:eastAsia="仿宋_GB2312"/>
          <w:sz w:val="30"/>
          <w:szCs w:val="24"/>
          <w:lang w:eastAsia="zh-CN"/>
        </w:rPr>
        <w:t>政法委根据</w:t>
      </w:r>
      <w:r>
        <w:rPr>
          <w:rFonts w:hint="eastAsia" w:ascii="仿宋_GB2312" w:hAnsi="Times New Roman" w:eastAsia="仿宋_GB2312"/>
          <w:sz w:val="30"/>
          <w:szCs w:val="24"/>
          <w:lang w:val="en-US" w:eastAsia="zh-CN"/>
        </w:rPr>
        <w:t>2019年度重点工作计划设立的一项保障全区政法工作顺利开展的经费</w:t>
      </w:r>
      <w:r>
        <w:rPr>
          <w:rFonts w:hint="eastAsia" w:ascii="仿宋_GB2312" w:hAnsi="Times New Roman" w:eastAsia="仿宋_GB2312"/>
          <w:sz w:val="30"/>
          <w:szCs w:val="24"/>
        </w:rPr>
        <w:t>。</w:t>
      </w:r>
      <w:r>
        <w:rPr>
          <w:rFonts w:hint="eastAsia" w:ascii="仿宋_GB2312" w:hAnsi="Times New Roman" w:eastAsia="仿宋_GB2312"/>
          <w:sz w:val="30"/>
          <w:szCs w:val="24"/>
          <w:lang w:eastAsia="zh-CN"/>
        </w:rPr>
        <w:t>为了更好地</w:t>
      </w:r>
      <w:r>
        <w:rPr>
          <w:rFonts w:hint="eastAsia" w:ascii="仿宋_GB2312" w:hAnsi="Times New Roman" w:eastAsia="仿宋_GB2312"/>
          <w:sz w:val="30"/>
          <w:szCs w:val="24"/>
        </w:rPr>
        <w:t>贯彻党的路线、方针、政策，按市委、区委的部署，统一政法各部门的思想和行动，保证市委、区委的部署在政法部门的贯彻实施。组织、协调和指导维护全区社会、政治稳定工作</w:t>
      </w:r>
      <w:r>
        <w:rPr>
          <w:rFonts w:hint="eastAsia" w:ascii="仿宋_GB2312" w:hAnsi="Times New Roman" w:eastAsia="仿宋_GB2312"/>
          <w:sz w:val="30"/>
          <w:szCs w:val="24"/>
          <w:lang w:eastAsia="zh-CN"/>
        </w:rPr>
        <w:t>，进一步提高辖区群众的安全感、获得感和幸福感。</w:t>
      </w:r>
    </w:p>
    <w:p>
      <w:pPr>
        <w:spacing w:line="600" w:lineRule="exact"/>
        <w:ind w:firstLine="600" w:firstLineChars="200"/>
        <w:outlineLvl w:val="0"/>
        <w:rPr>
          <w:rFonts w:hint="eastAsia" w:ascii="仿宋_GB2312" w:hAnsi="Times New Roman" w:eastAsia="仿宋_GB2312"/>
          <w:sz w:val="30"/>
          <w:szCs w:val="24"/>
        </w:rPr>
      </w:pPr>
      <w:r>
        <w:rPr>
          <w:rFonts w:hint="eastAsia" w:ascii="仿宋_GB2312" w:hAnsi="Times New Roman" w:eastAsia="仿宋_GB2312"/>
          <w:sz w:val="30"/>
          <w:szCs w:val="24"/>
        </w:rPr>
        <w:t>2、主要内容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sz w:val="30"/>
          <w:szCs w:val="24"/>
        </w:rPr>
      </w:pPr>
      <w:r>
        <w:rPr>
          <w:rFonts w:hint="eastAsia" w:ascii="仿宋_GB2312" w:hAnsi="Times New Roman" w:eastAsia="仿宋_GB2312"/>
          <w:sz w:val="30"/>
          <w:szCs w:val="24"/>
          <w:lang w:eastAsia="zh-CN"/>
        </w:rPr>
        <w:t>保障我区社会治安综合工作有序开展，采购信息一体化设备、按照上级要求进行机房改造，支付我辖区</w:t>
      </w:r>
      <w:r>
        <w:rPr>
          <w:rFonts w:hint="eastAsia" w:ascii="仿宋_GB2312" w:hAnsi="Times New Roman" w:eastAsia="仿宋_GB2312"/>
          <w:sz w:val="30"/>
          <w:szCs w:val="24"/>
          <w:lang w:val="en-US" w:eastAsia="zh-CN"/>
        </w:rPr>
        <w:t>10个访客系统使用费用，为值班人员购买冬装、夏装等</w:t>
      </w:r>
      <w:r>
        <w:rPr>
          <w:rFonts w:hint="eastAsia" w:ascii="仿宋_GB2312" w:hAnsi="Times New Roman" w:eastAsia="仿宋_GB2312"/>
          <w:sz w:val="30"/>
          <w:szCs w:val="24"/>
        </w:rPr>
        <w:t>。</w:t>
      </w:r>
    </w:p>
    <w:p>
      <w:pPr>
        <w:spacing w:line="600" w:lineRule="exact"/>
        <w:ind w:firstLine="600" w:firstLineChars="200"/>
        <w:outlineLvl w:val="0"/>
        <w:rPr>
          <w:rFonts w:hint="eastAsia" w:ascii="仿宋_GB2312" w:hAnsi="Times New Roman" w:eastAsia="仿宋_GB2312"/>
          <w:sz w:val="30"/>
          <w:szCs w:val="24"/>
        </w:rPr>
      </w:pPr>
      <w:r>
        <w:rPr>
          <w:rFonts w:hint="eastAsia" w:ascii="仿宋_GB2312" w:hAnsi="Times New Roman" w:eastAsia="仿宋_GB2312"/>
          <w:sz w:val="30"/>
          <w:szCs w:val="24"/>
        </w:rPr>
        <w:t>3、实施情况</w:t>
      </w:r>
    </w:p>
    <w:p>
      <w:pPr>
        <w:spacing w:line="600" w:lineRule="exact"/>
        <w:ind w:firstLine="600" w:firstLineChars="200"/>
        <w:outlineLvl w:val="0"/>
        <w:rPr>
          <w:rFonts w:hint="eastAsia" w:ascii="仿宋_GB2312" w:hAnsi="Times New Roman" w:eastAsia="仿宋_GB2312"/>
          <w:sz w:val="30"/>
          <w:szCs w:val="24"/>
          <w:lang w:val="en-US" w:eastAsia="zh-CN"/>
        </w:rPr>
      </w:pPr>
      <w:r>
        <w:rPr>
          <w:rFonts w:hint="eastAsia" w:ascii="仿宋_GB2312" w:hAnsi="Times New Roman" w:eastAsia="仿宋_GB2312"/>
          <w:sz w:val="30"/>
          <w:szCs w:val="24"/>
        </w:rPr>
        <w:t>实施主体：</w:t>
      </w:r>
      <w:r>
        <w:rPr>
          <w:rFonts w:hint="eastAsia" w:ascii="仿宋_GB2312" w:hAnsi="Times New Roman" w:eastAsia="仿宋_GB2312"/>
          <w:sz w:val="30"/>
          <w:szCs w:val="24"/>
          <w:lang w:eastAsia="zh-CN"/>
        </w:rPr>
        <w:t>乌尔禾区政法委</w:t>
      </w:r>
      <w:r>
        <w:rPr>
          <w:rFonts w:hint="eastAsia" w:ascii="仿宋_GB2312" w:hAnsi="Times New Roman" w:eastAsia="仿宋_GB2312"/>
          <w:sz w:val="30"/>
          <w:szCs w:val="24"/>
          <w:lang w:val="en-US" w:eastAsia="zh-CN"/>
        </w:rPr>
        <w:t>,是区委职能部门，为科级单位。</w:t>
      </w:r>
    </w:p>
    <w:p>
      <w:pPr>
        <w:spacing w:line="600" w:lineRule="exact"/>
        <w:ind w:firstLine="600" w:firstLineChars="200"/>
        <w:outlineLvl w:val="0"/>
        <w:rPr>
          <w:rFonts w:hint="eastAsia" w:ascii="仿宋_GB2312" w:hAnsi="Times New Roman" w:eastAsia="仿宋_GB2312"/>
          <w:sz w:val="30"/>
          <w:szCs w:val="24"/>
          <w:lang w:val="en-US" w:eastAsia="zh-CN"/>
        </w:rPr>
      </w:pPr>
      <w:r>
        <w:rPr>
          <w:rFonts w:hint="eastAsia" w:ascii="仿宋_GB2312" w:hAnsi="Times New Roman" w:eastAsia="仿宋_GB2312"/>
          <w:sz w:val="30"/>
          <w:szCs w:val="24"/>
        </w:rPr>
        <w:t>实施时间：</w:t>
      </w:r>
      <w:r>
        <w:rPr>
          <w:rFonts w:hint="eastAsia" w:ascii="仿宋_GB2312" w:hAnsi="Times New Roman" w:eastAsia="仿宋_GB2312"/>
          <w:sz w:val="30"/>
          <w:szCs w:val="24"/>
          <w:lang w:val="en-US" w:eastAsia="zh-CN"/>
        </w:rPr>
        <w:t>2019年1月-2019年12月，属于延续性项目。</w:t>
      </w:r>
    </w:p>
    <w:p>
      <w:pPr>
        <w:spacing w:line="600" w:lineRule="exact"/>
        <w:ind w:firstLine="600" w:firstLineChars="200"/>
        <w:outlineLvl w:val="0"/>
        <w:rPr>
          <w:rFonts w:ascii="仿宋_GB2312" w:hAnsi="Times New Roman" w:eastAsia="仿宋_GB2312"/>
          <w:sz w:val="30"/>
          <w:szCs w:val="24"/>
        </w:rPr>
      </w:pPr>
      <w:r>
        <w:rPr>
          <w:rFonts w:hint="eastAsia" w:ascii="仿宋_GB2312" w:hAnsi="Times New Roman" w:eastAsia="仿宋_GB2312"/>
          <w:sz w:val="30"/>
          <w:szCs w:val="24"/>
        </w:rPr>
        <w:t>实施结果：项目资金执行率达到了</w:t>
      </w:r>
      <w:r>
        <w:rPr>
          <w:rFonts w:hint="eastAsia" w:ascii="仿宋_GB2312" w:hAnsi="Times New Roman" w:eastAsia="仿宋_GB2312"/>
          <w:sz w:val="30"/>
          <w:szCs w:val="24"/>
          <w:lang w:val="en-US" w:eastAsia="zh-CN"/>
        </w:rPr>
        <w:t>100</w:t>
      </w:r>
      <w:r>
        <w:rPr>
          <w:rFonts w:hint="eastAsia" w:ascii="仿宋_GB2312" w:hAnsi="Times New Roman" w:eastAsia="仿宋_GB2312"/>
          <w:sz w:val="30"/>
          <w:szCs w:val="24"/>
        </w:rPr>
        <w:t>%,结余经费</w:t>
      </w:r>
      <w:r>
        <w:rPr>
          <w:rFonts w:hint="eastAsia" w:ascii="仿宋_GB2312" w:hAnsi="Times New Roman" w:eastAsia="仿宋_GB2312"/>
          <w:sz w:val="30"/>
          <w:szCs w:val="24"/>
          <w:lang w:val="en-US" w:eastAsia="zh-CN"/>
        </w:rPr>
        <w:t>0</w:t>
      </w:r>
      <w:r>
        <w:rPr>
          <w:rFonts w:hint="eastAsia" w:ascii="仿宋_GB2312" w:hAnsi="Times New Roman" w:eastAsia="仿宋_GB2312"/>
          <w:sz w:val="30"/>
          <w:szCs w:val="24"/>
        </w:rPr>
        <w:t>万元，</w:t>
      </w:r>
      <w:r>
        <w:rPr>
          <w:rFonts w:hint="eastAsia" w:ascii="仿宋_GB2312" w:hAnsi="Times New Roman" w:eastAsia="仿宋_GB2312"/>
          <w:sz w:val="30"/>
          <w:szCs w:val="24"/>
          <w:lang w:eastAsia="zh-CN"/>
        </w:rPr>
        <w:t>不结转至次年使用，</w:t>
      </w:r>
      <w:r>
        <w:rPr>
          <w:rFonts w:hint="eastAsia" w:ascii="仿宋_GB2312" w:hAnsi="Times New Roman" w:eastAsia="仿宋_GB2312"/>
          <w:sz w:val="30"/>
          <w:szCs w:val="24"/>
        </w:rPr>
        <w:t>项目总体目标完成100%。</w:t>
      </w:r>
    </w:p>
    <w:p>
      <w:pPr>
        <w:spacing w:line="600" w:lineRule="exact"/>
        <w:ind w:left="420" w:leftChars="200"/>
        <w:outlineLvl w:val="0"/>
        <w:rPr>
          <w:rFonts w:hint="eastAsia" w:ascii="仿宋_GB2312" w:hAnsi="Times New Roman" w:eastAsia="仿宋_GB2312"/>
          <w:sz w:val="30"/>
          <w:szCs w:val="24"/>
        </w:rPr>
      </w:pPr>
      <w:r>
        <w:rPr>
          <w:rFonts w:hint="eastAsia" w:ascii="仿宋_GB2312" w:hAnsi="Times New Roman" w:eastAsia="仿宋_GB2312"/>
          <w:sz w:val="30"/>
          <w:szCs w:val="24"/>
        </w:rPr>
        <w:t>4、资金投入</w:t>
      </w:r>
      <w:r>
        <w:rPr>
          <w:rFonts w:hint="eastAsia" w:ascii="仿宋_GB2312" w:eastAsia="仿宋_GB2312"/>
          <w:sz w:val="30"/>
          <w:szCs w:val="24"/>
        </w:rPr>
        <w:t>情况</w:t>
      </w:r>
    </w:p>
    <w:p>
      <w:pPr>
        <w:spacing w:line="600" w:lineRule="exact"/>
        <w:ind w:left="420" w:leftChars="200"/>
        <w:outlineLvl w:val="0"/>
        <w:rPr>
          <w:rFonts w:hint="eastAsia" w:ascii="仿宋_GB2312" w:hAnsi="Times New Roman" w:eastAsia="仿宋_GB2312"/>
          <w:sz w:val="30"/>
          <w:szCs w:val="24"/>
          <w:lang w:val="en-US" w:eastAsia="zh-CN"/>
        </w:rPr>
      </w:pPr>
      <w:r>
        <w:rPr>
          <w:rFonts w:hint="eastAsia" w:ascii="仿宋_GB2312" w:hAnsi="Times New Roman" w:eastAsia="仿宋_GB2312"/>
          <w:sz w:val="30"/>
          <w:szCs w:val="24"/>
        </w:rPr>
        <w:t>201</w:t>
      </w:r>
      <w:r>
        <w:rPr>
          <w:rFonts w:hint="eastAsia" w:ascii="仿宋_GB2312" w:hAnsi="Times New Roman" w:eastAsia="仿宋_GB2312"/>
          <w:sz w:val="30"/>
          <w:szCs w:val="24"/>
          <w:lang w:val="en-US" w:eastAsia="zh-CN"/>
        </w:rPr>
        <w:t>9</w:t>
      </w:r>
      <w:r>
        <w:rPr>
          <w:rFonts w:hint="eastAsia" w:ascii="仿宋_GB2312" w:hAnsi="Times New Roman" w:eastAsia="仿宋_GB2312"/>
          <w:sz w:val="30"/>
          <w:szCs w:val="24"/>
        </w:rPr>
        <w:t>年全年，</w:t>
      </w:r>
      <w:r>
        <w:rPr>
          <w:rFonts w:hint="eastAsia" w:ascii="仿宋_GB2312" w:hAnsi="Times New Roman" w:eastAsia="仿宋_GB2312"/>
          <w:sz w:val="30"/>
          <w:szCs w:val="24"/>
          <w:lang w:eastAsia="zh-CN"/>
        </w:rPr>
        <w:t>本项目</w:t>
      </w:r>
      <w:r>
        <w:rPr>
          <w:rFonts w:hint="eastAsia" w:ascii="仿宋_GB2312" w:hAnsi="Times New Roman" w:eastAsia="仿宋_GB2312"/>
          <w:sz w:val="30"/>
          <w:szCs w:val="24"/>
        </w:rPr>
        <w:t>资金</w:t>
      </w:r>
      <w:r>
        <w:rPr>
          <w:rFonts w:hint="eastAsia" w:ascii="仿宋_GB2312" w:hAnsi="Times New Roman" w:eastAsia="仿宋_GB2312"/>
          <w:sz w:val="30"/>
          <w:szCs w:val="24"/>
          <w:lang w:eastAsia="zh-CN"/>
        </w:rPr>
        <w:t>共投入</w:t>
      </w:r>
      <w:r>
        <w:rPr>
          <w:rFonts w:hint="eastAsia" w:ascii="仿宋_GB2312" w:hAnsi="Times New Roman" w:eastAsia="仿宋_GB2312"/>
          <w:sz w:val="30"/>
          <w:szCs w:val="24"/>
          <w:lang w:val="en-US" w:eastAsia="zh-CN"/>
        </w:rPr>
        <w:t>242.01</w:t>
      </w:r>
      <w:r>
        <w:rPr>
          <w:rFonts w:hint="eastAsia" w:ascii="仿宋_GB2312" w:hAnsi="Times New Roman" w:eastAsia="仿宋_GB2312"/>
          <w:sz w:val="30"/>
          <w:szCs w:val="24"/>
        </w:rPr>
        <w:t>万元，其中</w:t>
      </w:r>
      <w:r>
        <w:rPr>
          <w:rFonts w:hint="eastAsia" w:ascii="仿宋_GB2312" w:hAnsi="Times New Roman" w:eastAsia="仿宋_GB2312"/>
          <w:sz w:val="30"/>
          <w:szCs w:val="24"/>
          <w:lang w:eastAsia="zh-CN"/>
        </w:rPr>
        <w:t>：财政资金</w:t>
      </w:r>
      <w:r>
        <w:rPr>
          <w:rFonts w:hint="eastAsia" w:ascii="仿宋_GB2312" w:hAnsi="Times New Roman" w:eastAsia="仿宋_GB2312"/>
          <w:sz w:val="30"/>
          <w:szCs w:val="24"/>
          <w:lang w:val="en-US" w:eastAsia="zh-CN"/>
        </w:rPr>
        <w:t>242.01万元、自筹资金0万元，全部来源于</w:t>
      </w:r>
      <w:r>
        <w:rPr>
          <w:rFonts w:hint="eastAsia" w:ascii="仿宋_GB2312" w:hAnsi="Times New Roman" w:eastAsia="仿宋_GB2312"/>
          <w:sz w:val="30"/>
          <w:szCs w:val="24"/>
        </w:rPr>
        <w:t>一般公共预算</w:t>
      </w:r>
      <w:r>
        <w:rPr>
          <w:rFonts w:hint="eastAsia" w:ascii="仿宋_GB2312" w:hAnsi="Times New Roman" w:eastAsia="仿宋_GB2312"/>
          <w:sz w:val="30"/>
          <w:szCs w:val="24"/>
          <w:lang w:eastAsia="zh-CN"/>
        </w:rPr>
        <w:t>实际投入资金</w:t>
      </w:r>
      <w:r>
        <w:rPr>
          <w:rFonts w:hint="eastAsia" w:ascii="仿宋_GB2312" w:hAnsi="Times New Roman" w:eastAsia="仿宋_GB2312"/>
          <w:sz w:val="30"/>
          <w:szCs w:val="24"/>
          <w:lang w:val="en-US" w:eastAsia="zh-CN"/>
        </w:rPr>
        <w:t>242.01</w:t>
      </w:r>
      <w:r>
        <w:rPr>
          <w:rFonts w:hint="eastAsia" w:ascii="仿宋_GB2312" w:hAnsi="Times New Roman" w:eastAsia="仿宋_GB2312"/>
          <w:sz w:val="30"/>
          <w:szCs w:val="24"/>
        </w:rPr>
        <w:t>万元</w:t>
      </w:r>
      <w:r>
        <w:rPr>
          <w:rFonts w:hint="eastAsia" w:ascii="仿宋_GB2312" w:hAnsi="Times New Roman" w:eastAsia="仿宋_GB2312"/>
          <w:sz w:val="30"/>
          <w:szCs w:val="24"/>
          <w:lang w:eastAsia="zh-CN"/>
        </w:rPr>
        <w:t>。</w:t>
      </w:r>
    </w:p>
    <w:p>
      <w:pPr>
        <w:numPr>
          <w:ilvl w:val="0"/>
          <w:numId w:val="1"/>
        </w:numPr>
        <w:spacing w:line="600" w:lineRule="exact"/>
        <w:ind w:firstLine="600" w:firstLineChars="200"/>
        <w:outlineLvl w:val="0"/>
        <w:rPr>
          <w:rFonts w:hint="eastAsia" w:ascii="仿宋_GB2312" w:hAnsi="Times New Roman" w:eastAsia="仿宋_GB2312"/>
          <w:sz w:val="30"/>
          <w:szCs w:val="24"/>
        </w:rPr>
      </w:pPr>
      <w:r>
        <w:rPr>
          <w:rFonts w:hint="eastAsia" w:ascii="仿宋_GB2312" w:hAnsi="Times New Roman" w:eastAsia="仿宋_GB2312"/>
          <w:sz w:val="30"/>
          <w:szCs w:val="24"/>
        </w:rPr>
        <w:t>资金使用情况</w:t>
      </w:r>
    </w:p>
    <w:p>
      <w:pPr>
        <w:spacing w:line="600" w:lineRule="exact"/>
        <w:ind w:firstLine="600" w:firstLineChars="200"/>
        <w:outlineLvl w:val="0"/>
        <w:rPr>
          <w:rFonts w:hint="eastAsia" w:ascii="仿宋_GB2312" w:hAnsi="Times New Roman" w:eastAsia="仿宋_GB2312"/>
          <w:sz w:val="30"/>
          <w:szCs w:val="24"/>
          <w:lang w:eastAsia="zh-CN"/>
        </w:rPr>
      </w:pPr>
      <w:bookmarkStart w:id="0" w:name="bookmark49"/>
      <w:bookmarkEnd w:id="0"/>
      <w:r>
        <w:rPr>
          <w:rFonts w:hint="eastAsia" w:ascii="仿宋_GB2312" w:hAnsi="Times New Roman" w:eastAsia="仿宋_GB2312"/>
          <w:sz w:val="30"/>
          <w:szCs w:val="24"/>
        </w:rPr>
        <w:t>2019年度乌尔禾</w:t>
      </w:r>
      <w:r>
        <w:rPr>
          <w:rFonts w:hint="eastAsia" w:ascii="仿宋_GB2312" w:hAnsi="Times New Roman" w:eastAsia="仿宋_GB2312"/>
          <w:sz w:val="30"/>
          <w:szCs w:val="24"/>
          <w:lang w:eastAsia="zh-CN"/>
        </w:rPr>
        <w:t>区委政法委的经费</w:t>
      </w:r>
      <w:r>
        <w:rPr>
          <w:rFonts w:hint="eastAsia" w:ascii="仿宋_GB2312" w:hAnsi="Times New Roman" w:eastAsia="仿宋_GB2312"/>
          <w:sz w:val="30"/>
          <w:szCs w:val="24"/>
        </w:rPr>
        <w:t>资金共计</w:t>
      </w:r>
      <w:r>
        <w:rPr>
          <w:rFonts w:hint="eastAsia" w:ascii="仿宋_GB2312" w:hAnsi="Times New Roman" w:eastAsia="仿宋_GB2312"/>
          <w:sz w:val="30"/>
          <w:szCs w:val="24"/>
          <w:lang w:val="en-US" w:eastAsia="zh-CN"/>
        </w:rPr>
        <w:t>242.01</w:t>
      </w:r>
      <w:r>
        <w:rPr>
          <w:rFonts w:hint="eastAsia" w:ascii="仿宋_GB2312" w:hAnsi="Times New Roman" w:eastAsia="仿宋_GB2312"/>
          <w:sz w:val="30"/>
          <w:szCs w:val="24"/>
        </w:rPr>
        <w:t>万元。截止2019年12月31日,项目实际使用资金</w:t>
      </w:r>
      <w:r>
        <w:rPr>
          <w:rFonts w:hint="eastAsia" w:ascii="仿宋_GB2312" w:hAnsi="Times New Roman" w:eastAsia="仿宋_GB2312"/>
          <w:sz w:val="30"/>
          <w:szCs w:val="24"/>
          <w:lang w:val="en-US" w:eastAsia="zh-CN"/>
        </w:rPr>
        <w:t>242.01</w:t>
      </w:r>
      <w:r>
        <w:rPr>
          <w:rFonts w:hint="eastAsia" w:ascii="仿宋_GB2312" w:hAnsi="Times New Roman" w:eastAsia="仿宋_GB2312"/>
          <w:sz w:val="30"/>
          <w:szCs w:val="24"/>
        </w:rPr>
        <w:t>万元，全部用于</w:t>
      </w:r>
      <w:r>
        <w:rPr>
          <w:rFonts w:hint="eastAsia" w:ascii="仿宋_GB2312" w:hAnsi="Times New Roman" w:eastAsia="仿宋_GB2312"/>
          <w:sz w:val="30"/>
          <w:szCs w:val="24"/>
          <w:lang w:eastAsia="zh-CN"/>
        </w:rPr>
        <w:t>政法专项工作</w:t>
      </w:r>
      <w:r>
        <w:rPr>
          <w:rFonts w:hint="eastAsia" w:ascii="仿宋_GB2312" w:hAnsi="Times New Roman" w:eastAsia="仿宋_GB2312"/>
          <w:sz w:val="30"/>
          <w:szCs w:val="24"/>
        </w:rPr>
        <w:t>，</w:t>
      </w:r>
      <w:r>
        <w:rPr>
          <w:rFonts w:hint="eastAsia" w:ascii="仿宋_GB2312" w:hAnsi="Times New Roman" w:eastAsia="仿宋_GB2312"/>
          <w:sz w:val="30"/>
          <w:szCs w:val="24"/>
          <w:lang w:eastAsia="zh-CN"/>
        </w:rPr>
        <w:t>项目资金执行率</w:t>
      </w:r>
      <w:r>
        <w:rPr>
          <w:rFonts w:hint="eastAsia" w:ascii="仿宋_GB2312" w:hAnsi="Times New Roman" w:eastAsia="仿宋_GB2312"/>
          <w:sz w:val="30"/>
          <w:szCs w:val="24"/>
          <w:lang w:val="en-US" w:eastAsia="zh-CN"/>
        </w:rPr>
        <w:t>100</w:t>
      </w:r>
      <w:r>
        <w:rPr>
          <w:rFonts w:hint="eastAsia" w:ascii="仿宋_GB2312" w:hAnsi="Times New Roman" w:eastAsia="仿宋_GB2312"/>
          <w:sz w:val="30"/>
          <w:szCs w:val="24"/>
        </w:rPr>
        <w:t>%，主要用于</w:t>
      </w:r>
      <w:r>
        <w:rPr>
          <w:rFonts w:hint="eastAsia" w:ascii="仿宋_GB2312" w:hAnsi="Times New Roman" w:eastAsia="仿宋_GB2312"/>
          <w:sz w:val="30"/>
          <w:szCs w:val="24"/>
          <w:lang w:eastAsia="zh-CN"/>
        </w:rPr>
        <w:t>设备器材采购、支付购买服务费用，警务站、派出所战备物资保障</w:t>
      </w:r>
      <w:r>
        <w:rPr>
          <w:rFonts w:hint="eastAsia" w:ascii="仿宋_GB2312" w:hAnsi="Times New Roman" w:eastAsia="仿宋_GB2312"/>
          <w:sz w:val="30"/>
          <w:szCs w:val="24"/>
        </w:rPr>
        <w:t>。</w:t>
      </w:r>
      <w:r>
        <w:rPr>
          <w:rFonts w:hint="eastAsia" w:ascii="仿宋_GB2312" w:hAnsi="Times New Roman" w:eastAsia="仿宋_GB2312"/>
          <w:sz w:val="30"/>
          <w:szCs w:val="24"/>
          <w:lang w:eastAsia="zh-CN"/>
        </w:rPr>
        <w:t>具体资金使用情况如下：</w:t>
      </w:r>
    </w:p>
    <w:p>
      <w:pPr>
        <w:spacing w:line="600" w:lineRule="exact"/>
        <w:ind w:firstLine="600" w:firstLineChars="200"/>
        <w:outlineLvl w:val="0"/>
        <w:rPr>
          <w:rFonts w:hint="eastAsia" w:ascii="仿宋_GB2312" w:hAnsi="Times New Roman" w:eastAsia="仿宋_GB2312"/>
          <w:sz w:val="30"/>
          <w:szCs w:val="24"/>
        </w:rPr>
      </w:pPr>
      <w:r>
        <w:rPr>
          <w:rFonts w:hint="eastAsia" w:ascii="仿宋_GB2312" w:hAnsi="Times New Roman" w:eastAsia="仿宋_GB2312"/>
          <w:sz w:val="30"/>
          <w:szCs w:val="24"/>
        </w:rPr>
        <w:t>①</w:t>
      </w:r>
      <w:r>
        <w:rPr>
          <w:rFonts w:hint="eastAsia" w:ascii="仿宋_GB2312" w:hAnsi="Times New Roman" w:eastAsia="仿宋_GB2312"/>
          <w:sz w:val="30"/>
          <w:szCs w:val="24"/>
          <w:lang w:eastAsia="zh-CN"/>
        </w:rPr>
        <w:t>购买对讲机</w:t>
      </w:r>
      <w:r>
        <w:rPr>
          <w:rFonts w:hint="eastAsia" w:ascii="仿宋_GB2312" w:hAnsi="Times New Roman" w:eastAsia="仿宋_GB2312"/>
          <w:sz w:val="30"/>
          <w:szCs w:val="24"/>
          <w:lang w:val="en-US" w:eastAsia="zh-CN"/>
        </w:rPr>
        <w:t xml:space="preserve"> 7</w:t>
      </w:r>
      <w:r>
        <w:rPr>
          <w:rFonts w:hint="eastAsia" w:ascii="仿宋_GB2312" w:hAnsi="Times New Roman" w:eastAsia="仿宋_GB2312"/>
          <w:sz w:val="30"/>
          <w:szCs w:val="24"/>
        </w:rPr>
        <w:t>个，</w:t>
      </w:r>
      <w:r>
        <w:rPr>
          <w:rFonts w:hint="eastAsia" w:ascii="仿宋_GB2312" w:hAnsi="Times New Roman" w:eastAsia="仿宋_GB2312"/>
          <w:sz w:val="30"/>
          <w:szCs w:val="24"/>
          <w:lang w:eastAsia="zh-CN"/>
        </w:rPr>
        <w:t>金额</w:t>
      </w:r>
      <w:r>
        <w:rPr>
          <w:rFonts w:hint="eastAsia" w:ascii="仿宋_GB2312" w:hAnsi="Times New Roman" w:eastAsia="仿宋_GB2312"/>
          <w:sz w:val="30"/>
          <w:szCs w:val="24"/>
          <w:lang w:val="en-US" w:eastAsia="zh-CN"/>
        </w:rPr>
        <w:t>0.48</w:t>
      </w:r>
      <w:r>
        <w:rPr>
          <w:rFonts w:hint="eastAsia" w:ascii="仿宋_GB2312" w:hAnsi="Times New Roman" w:eastAsia="仿宋_GB2312"/>
          <w:sz w:val="30"/>
          <w:szCs w:val="24"/>
        </w:rPr>
        <w:t>万元。</w:t>
      </w:r>
    </w:p>
    <w:p>
      <w:pPr>
        <w:spacing w:line="600" w:lineRule="exact"/>
        <w:ind w:firstLine="600" w:firstLineChars="200"/>
        <w:outlineLvl w:val="0"/>
        <w:rPr>
          <w:rFonts w:hint="eastAsia" w:ascii="仿宋_GB2312" w:hAnsi="Times New Roman" w:eastAsia="仿宋_GB2312"/>
          <w:sz w:val="30"/>
          <w:szCs w:val="24"/>
        </w:rPr>
      </w:pPr>
      <w:bookmarkStart w:id="1" w:name="bookmark50"/>
      <w:bookmarkEnd w:id="1"/>
      <w:r>
        <w:rPr>
          <w:rFonts w:hint="eastAsia" w:ascii="仿宋_GB2312" w:hAnsi="Times New Roman" w:eastAsia="仿宋_GB2312"/>
          <w:sz w:val="30"/>
          <w:szCs w:val="24"/>
        </w:rPr>
        <w:t>②</w:t>
      </w:r>
      <w:r>
        <w:rPr>
          <w:rFonts w:hint="eastAsia" w:ascii="仿宋_GB2312" w:hAnsi="Times New Roman" w:eastAsia="仿宋_GB2312"/>
          <w:sz w:val="30"/>
          <w:szCs w:val="24"/>
          <w:lang w:eastAsia="zh-CN"/>
        </w:rPr>
        <w:t>人员密集场所安检设备</w:t>
      </w:r>
      <w:r>
        <w:rPr>
          <w:rFonts w:hint="eastAsia" w:ascii="仿宋_GB2312" w:hAnsi="Times New Roman" w:eastAsia="仿宋_GB2312"/>
          <w:sz w:val="30"/>
          <w:szCs w:val="24"/>
          <w:lang w:val="en-US" w:eastAsia="zh-CN"/>
        </w:rPr>
        <w:t>8</w:t>
      </w:r>
      <w:r>
        <w:rPr>
          <w:rFonts w:hint="eastAsia" w:ascii="仿宋_GB2312" w:hAnsi="Times New Roman" w:eastAsia="仿宋_GB2312"/>
          <w:sz w:val="30"/>
          <w:szCs w:val="24"/>
        </w:rPr>
        <w:t>个，</w:t>
      </w:r>
      <w:r>
        <w:rPr>
          <w:rFonts w:hint="eastAsia" w:ascii="仿宋_GB2312" w:hAnsi="Times New Roman" w:eastAsia="仿宋_GB2312"/>
          <w:sz w:val="30"/>
          <w:szCs w:val="24"/>
          <w:lang w:eastAsia="zh-CN"/>
        </w:rPr>
        <w:t>金额</w:t>
      </w:r>
      <w:r>
        <w:rPr>
          <w:rFonts w:hint="eastAsia" w:ascii="仿宋_GB2312" w:hAnsi="Times New Roman" w:eastAsia="仿宋_GB2312"/>
          <w:sz w:val="30"/>
          <w:szCs w:val="24"/>
          <w:lang w:val="en-US" w:eastAsia="zh-CN"/>
        </w:rPr>
        <w:t>28.4</w:t>
      </w:r>
      <w:r>
        <w:rPr>
          <w:rFonts w:hint="eastAsia" w:ascii="仿宋_GB2312" w:hAnsi="Times New Roman" w:eastAsia="仿宋_GB2312"/>
          <w:sz w:val="30"/>
          <w:szCs w:val="24"/>
        </w:rPr>
        <w:t>万元。</w:t>
      </w:r>
    </w:p>
    <w:p>
      <w:pPr>
        <w:spacing w:line="600" w:lineRule="exact"/>
        <w:ind w:firstLine="600" w:firstLineChars="200"/>
        <w:outlineLvl w:val="0"/>
        <w:rPr>
          <w:rFonts w:hint="eastAsia" w:ascii="仿宋_GB2312" w:hAnsi="Times New Roman" w:eastAsia="仿宋_GB2312"/>
          <w:sz w:val="30"/>
          <w:szCs w:val="24"/>
        </w:rPr>
      </w:pPr>
      <w:r>
        <w:rPr>
          <w:rFonts w:hint="eastAsia" w:ascii="仿宋_GB2312" w:hAnsi="Times New Roman" w:eastAsia="仿宋_GB2312"/>
          <w:sz w:val="30"/>
          <w:szCs w:val="24"/>
        </w:rPr>
        <w:t xml:space="preserve">③ </w:t>
      </w:r>
      <w:r>
        <w:rPr>
          <w:rFonts w:hint="eastAsia" w:ascii="仿宋_GB2312" w:hAnsi="Times New Roman" w:eastAsia="仿宋_GB2312"/>
          <w:sz w:val="30"/>
          <w:szCs w:val="24"/>
          <w:lang w:eastAsia="zh-CN"/>
        </w:rPr>
        <w:t>支付</w:t>
      </w:r>
      <w:r>
        <w:rPr>
          <w:rFonts w:hint="eastAsia" w:ascii="仿宋_GB2312" w:hAnsi="Times New Roman" w:eastAsia="仿宋_GB2312"/>
          <w:sz w:val="30"/>
          <w:szCs w:val="24"/>
          <w:lang w:val="en-US" w:eastAsia="zh-CN"/>
        </w:rPr>
        <w:t>2017、2018年派出所采购</w:t>
      </w:r>
      <w:r>
        <w:rPr>
          <w:rFonts w:hint="eastAsia" w:ascii="仿宋_GB2312" w:hAnsi="Times New Roman" w:eastAsia="仿宋_GB2312"/>
          <w:sz w:val="30"/>
          <w:szCs w:val="24"/>
          <w:lang w:eastAsia="zh-CN"/>
        </w:rPr>
        <w:t>计算机</w:t>
      </w:r>
      <w:r>
        <w:rPr>
          <w:rFonts w:hint="eastAsia" w:ascii="仿宋_GB2312" w:hAnsi="Times New Roman" w:eastAsia="仿宋_GB2312"/>
          <w:sz w:val="30"/>
          <w:szCs w:val="24"/>
          <w:lang w:val="en-US" w:eastAsia="zh-CN"/>
        </w:rPr>
        <w:t>费用</w:t>
      </w:r>
      <w:r>
        <w:rPr>
          <w:rFonts w:hint="eastAsia" w:ascii="仿宋_GB2312" w:hAnsi="Times New Roman" w:eastAsia="仿宋_GB2312"/>
          <w:sz w:val="30"/>
          <w:szCs w:val="24"/>
        </w:rPr>
        <w:t>，</w:t>
      </w:r>
      <w:r>
        <w:rPr>
          <w:rFonts w:hint="eastAsia" w:ascii="仿宋_GB2312" w:hAnsi="Times New Roman" w:eastAsia="仿宋_GB2312"/>
          <w:sz w:val="30"/>
          <w:szCs w:val="24"/>
          <w:lang w:eastAsia="zh-CN"/>
        </w:rPr>
        <w:t>金额</w:t>
      </w:r>
      <w:r>
        <w:rPr>
          <w:rFonts w:hint="eastAsia" w:ascii="仿宋_GB2312" w:hAnsi="Times New Roman" w:eastAsia="仿宋_GB2312"/>
          <w:sz w:val="30"/>
          <w:szCs w:val="24"/>
          <w:lang w:val="en-US" w:eastAsia="zh-CN"/>
        </w:rPr>
        <w:t>3.81</w:t>
      </w:r>
      <w:r>
        <w:rPr>
          <w:rFonts w:hint="eastAsia" w:ascii="仿宋_GB2312" w:hAnsi="Times New Roman" w:eastAsia="仿宋_GB2312"/>
          <w:sz w:val="30"/>
          <w:szCs w:val="24"/>
        </w:rPr>
        <w:t>万元。</w:t>
      </w:r>
    </w:p>
    <w:p>
      <w:pPr>
        <w:spacing w:line="600" w:lineRule="exact"/>
        <w:ind w:firstLine="600" w:firstLineChars="200"/>
        <w:outlineLvl w:val="0"/>
        <w:rPr>
          <w:rFonts w:hint="eastAsia" w:ascii="仿宋_GB2312" w:hAnsi="Times New Roman" w:eastAsia="仿宋_GB2312"/>
          <w:sz w:val="30"/>
          <w:szCs w:val="24"/>
        </w:rPr>
      </w:pPr>
      <w:bookmarkStart w:id="2" w:name="bookmark51"/>
      <w:bookmarkEnd w:id="2"/>
      <w:r>
        <w:rPr>
          <w:rFonts w:hint="eastAsia" w:ascii="仿宋_GB2312" w:hAnsi="Times New Roman" w:eastAsia="仿宋_GB2312"/>
          <w:sz w:val="30"/>
          <w:szCs w:val="24"/>
        </w:rPr>
        <w:t>④</w:t>
      </w:r>
      <w:r>
        <w:rPr>
          <w:rFonts w:hint="eastAsia" w:ascii="仿宋_GB2312" w:hAnsi="Times New Roman" w:eastAsia="仿宋_GB2312"/>
          <w:sz w:val="30"/>
          <w:szCs w:val="24"/>
          <w:lang w:eastAsia="zh-CN"/>
        </w:rPr>
        <w:t>公安视频网</w:t>
      </w:r>
      <w:r>
        <w:rPr>
          <w:rFonts w:hint="eastAsia" w:ascii="仿宋_GB2312" w:hAnsi="Times New Roman" w:eastAsia="仿宋_GB2312"/>
          <w:sz w:val="30"/>
          <w:szCs w:val="24"/>
          <w:lang w:val="en-US" w:eastAsia="zh-CN"/>
        </w:rPr>
        <w:t>7处服务费用，金额2.76万元</w:t>
      </w:r>
      <w:r>
        <w:rPr>
          <w:rFonts w:hint="eastAsia" w:ascii="仿宋_GB2312" w:hAnsi="Times New Roman" w:eastAsia="仿宋_GB2312"/>
          <w:sz w:val="30"/>
          <w:szCs w:val="24"/>
        </w:rPr>
        <w:t>。</w:t>
      </w:r>
    </w:p>
    <w:p>
      <w:pPr>
        <w:spacing w:line="600" w:lineRule="exact"/>
        <w:ind w:firstLine="600" w:firstLineChars="200"/>
        <w:outlineLvl w:val="0"/>
        <w:rPr>
          <w:rFonts w:hint="eastAsia" w:ascii="仿宋_GB2312" w:hAnsi="Times New Roman" w:eastAsia="仿宋_GB2312"/>
          <w:sz w:val="30"/>
          <w:szCs w:val="24"/>
        </w:rPr>
      </w:pPr>
      <w:bookmarkStart w:id="3" w:name="bookmark52"/>
      <w:bookmarkEnd w:id="3"/>
      <w:r>
        <w:rPr>
          <w:rFonts w:hint="eastAsia" w:ascii="仿宋_GB2312" w:hAnsi="Times New Roman" w:eastAsia="仿宋_GB2312"/>
          <w:sz w:val="30"/>
          <w:szCs w:val="24"/>
        </w:rPr>
        <w:t>⑤</w:t>
      </w:r>
      <w:r>
        <w:rPr>
          <w:rFonts w:hint="eastAsia" w:ascii="仿宋_GB2312" w:hAnsi="Times New Roman" w:eastAsia="仿宋_GB2312"/>
          <w:sz w:val="30"/>
          <w:szCs w:val="24"/>
          <w:lang w:eastAsia="zh-CN"/>
        </w:rPr>
        <w:t>访客系统使用费用，金额</w:t>
      </w:r>
      <w:r>
        <w:rPr>
          <w:rFonts w:hint="eastAsia" w:ascii="仿宋_GB2312" w:hAnsi="Times New Roman" w:eastAsia="仿宋_GB2312"/>
          <w:sz w:val="30"/>
          <w:szCs w:val="24"/>
          <w:lang w:val="en-US" w:eastAsia="zh-CN"/>
        </w:rPr>
        <w:t>4.39万元</w:t>
      </w:r>
      <w:r>
        <w:rPr>
          <w:rFonts w:hint="eastAsia" w:ascii="仿宋_GB2312" w:hAnsi="Times New Roman" w:eastAsia="仿宋_GB2312"/>
          <w:sz w:val="30"/>
          <w:szCs w:val="24"/>
        </w:rPr>
        <w:t>。</w:t>
      </w:r>
    </w:p>
    <w:p>
      <w:pPr>
        <w:spacing w:line="600" w:lineRule="exact"/>
        <w:ind w:firstLine="600" w:firstLineChars="200"/>
        <w:outlineLvl w:val="0"/>
        <w:rPr>
          <w:rFonts w:ascii="仿宋_GB2312" w:hAnsi="Times New Roman" w:eastAsia="仿宋_GB2312"/>
          <w:sz w:val="30"/>
          <w:szCs w:val="24"/>
        </w:rPr>
      </w:pPr>
      <w:bookmarkStart w:id="4" w:name="bookmark53"/>
      <w:bookmarkEnd w:id="4"/>
      <w:r>
        <w:rPr>
          <w:rFonts w:hint="eastAsia" w:ascii="仿宋_GB2312" w:hAnsi="Times New Roman" w:eastAsia="仿宋_GB2312"/>
          <w:sz w:val="30"/>
          <w:szCs w:val="24"/>
        </w:rPr>
        <w:t>⑥</w:t>
      </w:r>
      <w:r>
        <w:rPr>
          <w:rFonts w:hint="eastAsia" w:ascii="仿宋_GB2312" w:hAnsi="Times New Roman" w:eastAsia="仿宋_GB2312"/>
          <w:sz w:val="30"/>
          <w:szCs w:val="24"/>
          <w:lang w:eastAsia="zh-CN"/>
        </w:rPr>
        <w:t>其他物资</w:t>
      </w:r>
      <w:r>
        <w:rPr>
          <w:rFonts w:hint="eastAsia" w:ascii="仿宋_GB2312" w:hAnsi="Times New Roman" w:eastAsia="仿宋_GB2312"/>
          <w:sz w:val="30"/>
          <w:szCs w:val="24"/>
        </w:rPr>
        <w:t>，</w:t>
      </w:r>
      <w:r>
        <w:rPr>
          <w:rFonts w:hint="eastAsia" w:ascii="仿宋_GB2312" w:hAnsi="Times New Roman" w:eastAsia="仿宋_GB2312"/>
          <w:sz w:val="30"/>
          <w:szCs w:val="24"/>
          <w:lang w:eastAsia="zh-CN"/>
        </w:rPr>
        <w:t>金额</w:t>
      </w:r>
      <w:r>
        <w:rPr>
          <w:rFonts w:hint="eastAsia" w:ascii="仿宋_GB2312" w:hAnsi="Times New Roman" w:eastAsia="仿宋_GB2312"/>
          <w:sz w:val="30"/>
          <w:szCs w:val="24"/>
          <w:lang w:val="en-US" w:eastAsia="zh-CN"/>
        </w:rPr>
        <w:t>202.17</w:t>
      </w:r>
      <w:r>
        <w:rPr>
          <w:rFonts w:hint="eastAsia" w:ascii="仿宋_GB2312" w:hAnsi="Times New Roman" w:eastAsia="仿宋_GB2312"/>
          <w:sz w:val="30"/>
          <w:szCs w:val="24"/>
        </w:rPr>
        <w:t>万元。</w:t>
      </w:r>
    </w:p>
    <w:p>
      <w:pPr>
        <w:numPr>
          <w:ilvl w:val="0"/>
          <w:numId w:val="2"/>
        </w:numPr>
        <w:spacing w:line="600" w:lineRule="exact"/>
        <w:ind w:firstLine="600" w:firstLineChars="200"/>
        <w:rPr>
          <w:rFonts w:hint="eastAsia" w:ascii="仿宋_GB2312" w:hAnsi="Times New Roman" w:eastAsia="仿宋_GB2312"/>
          <w:sz w:val="30"/>
          <w:szCs w:val="24"/>
        </w:rPr>
      </w:pPr>
      <w:r>
        <w:rPr>
          <w:rFonts w:hint="eastAsia" w:ascii="仿宋_GB2312" w:hAnsi="Times New Roman" w:eastAsia="仿宋_GB2312"/>
          <w:sz w:val="30"/>
          <w:szCs w:val="24"/>
        </w:rPr>
        <w:t>项目绩效目标</w:t>
      </w:r>
    </w:p>
    <w:p>
      <w:pPr>
        <w:numPr>
          <w:ilvl w:val="0"/>
          <w:numId w:val="3"/>
        </w:numPr>
        <w:spacing w:line="600" w:lineRule="exact"/>
        <w:ind w:firstLine="600" w:firstLineChars="200"/>
        <w:rPr>
          <w:rFonts w:hint="eastAsia" w:ascii="仿宋_GB2312" w:hAnsi="Times New Roman" w:eastAsia="仿宋_GB2312"/>
          <w:sz w:val="30"/>
          <w:szCs w:val="24"/>
        </w:rPr>
      </w:pPr>
      <w:r>
        <w:rPr>
          <w:rFonts w:hint="eastAsia" w:ascii="仿宋_GB2312" w:hAnsi="Times New Roman" w:eastAsia="仿宋_GB2312"/>
          <w:sz w:val="30"/>
          <w:szCs w:val="24"/>
        </w:rPr>
        <w:t>总体目标</w:t>
      </w:r>
    </w:p>
    <w:p>
      <w:pPr>
        <w:spacing w:line="600" w:lineRule="exact"/>
        <w:ind w:firstLine="600" w:firstLineChars="200"/>
        <w:rPr>
          <w:rFonts w:hint="eastAsia" w:ascii="仿宋_GB2312" w:hAnsi="Times New Roman" w:eastAsia="仿宋_GB2312"/>
          <w:sz w:val="30"/>
          <w:szCs w:val="24"/>
        </w:rPr>
      </w:pPr>
      <w:r>
        <w:rPr>
          <w:rFonts w:hint="eastAsia" w:ascii="仿宋_GB2312" w:hAnsi="Times New Roman" w:eastAsia="仿宋_GB2312"/>
          <w:sz w:val="30"/>
          <w:szCs w:val="24"/>
        </w:rPr>
        <w:t xml:space="preserve"> 截止</w:t>
      </w:r>
      <w:r>
        <w:rPr>
          <w:rFonts w:hint="eastAsia" w:ascii="仿宋_GB2312" w:hAnsi="Times New Roman" w:eastAsia="仿宋_GB2312"/>
          <w:sz w:val="30"/>
          <w:szCs w:val="24"/>
          <w:lang w:val="en-US" w:eastAsia="zh-CN"/>
        </w:rPr>
        <w:t>2019</w:t>
      </w:r>
      <w:r>
        <w:rPr>
          <w:rFonts w:hint="eastAsia" w:ascii="仿宋_GB2312" w:hAnsi="Times New Roman" w:eastAsia="仿宋_GB2312"/>
          <w:sz w:val="30"/>
          <w:szCs w:val="24"/>
        </w:rPr>
        <w:t>年底，</w:t>
      </w:r>
      <w:r>
        <w:rPr>
          <w:rFonts w:hint="eastAsia" w:ascii="仿宋_GB2312" w:hAnsi="Times New Roman" w:eastAsia="仿宋_GB2312"/>
          <w:sz w:val="30"/>
          <w:szCs w:val="24"/>
          <w:lang w:eastAsia="zh-CN"/>
        </w:rPr>
        <w:t>本项目资金实际支出</w:t>
      </w:r>
      <w:r>
        <w:rPr>
          <w:rFonts w:hint="eastAsia" w:ascii="仿宋_GB2312" w:hAnsi="Times New Roman" w:eastAsia="仿宋_GB2312"/>
          <w:sz w:val="30"/>
          <w:szCs w:val="24"/>
          <w:lang w:val="en-US" w:eastAsia="zh-CN"/>
        </w:rPr>
        <w:t>242.01</w:t>
      </w:r>
      <w:r>
        <w:rPr>
          <w:rFonts w:hint="eastAsia" w:ascii="仿宋_GB2312" w:hAnsi="Times New Roman" w:eastAsia="仿宋_GB2312"/>
          <w:sz w:val="30"/>
          <w:szCs w:val="24"/>
        </w:rPr>
        <w:t>万元，主要用于</w:t>
      </w:r>
      <w:r>
        <w:rPr>
          <w:rFonts w:hint="eastAsia" w:ascii="仿宋_GB2312" w:hAnsi="Times New Roman" w:eastAsia="仿宋_GB2312"/>
          <w:sz w:val="30"/>
          <w:szCs w:val="24"/>
          <w:lang w:eastAsia="zh-CN"/>
        </w:rPr>
        <w:t>中心设备器材采购、综治、公安视联网服务费用，派出所等战备物资采购，访客系统服务等</w:t>
      </w:r>
      <w:r>
        <w:rPr>
          <w:rFonts w:hint="eastAsia" w:ascii="仿宋_GB2312" w:hAnsi="Times New Roman" w:eastAsia="仿宋_GB2312"/>
          <w:sz w:val="30"/>
          <w:szCs w:val="24"/>
        </w:rPr>
        <w:t>。</w:t>
      </w:r>
    </w:p>
    <w:p>
      <w:pPr>
        <w:numPr>
          <w:ilvl w:val="0"/>
          <w:numId w:val="3"/>
        </w:numPr>
        <w:spacing w:line="600" w:lineRule="exact"/>
        <w:ind w:firstLine="600" w:firstLineChars="200"/>
        <w:rPr>
          <w:rFonts w:hint="eastAsia" w:ascii="仿宋_GB2312" w:hAnsi="Times New Roman" w:eastAsia="仿宋_GB2312"/>
          <w:sz w:val="30"/>
          <w:szCs w:val="24"/>
        </w:rPr>
      </w:pPr>
      <w:r>
        <w:rPr>
          <w:rFonts w:hint="eastAsia" w:ascii="仿宋_GB2312" w:hAnsi="Times New Roman" w:eastAsia="仿宋_GB2312"/>
          <w:sz w:val="30"/>
          <w:szCs w:val="24"/>
        </w:rPr>
        <w:t>阶段性目标</w:t>
      </w:r>
    </w:p>
    <w:p>
      <w:pPr>
        <w:spacing w:line="600" w:lineRule="exact"/>
        <w:ind w:firstLine="600" w:firstLineChars="200"/>
        <w:rPr>
          <w:rFonts w:hint="eastAsia" w:ascii="仿宋_GB2312" w:hAnsi="Times New Roman" w:eastAsia="仿宋_GB2312"/>
          <w:sz w:val="30"/>
          <w:szCs w:val="24"/>
          <w:lang w:eastAsia="zh-CN"/>
        </w:rPr>
      </w:pPr>
      <w:r>
        <w:rPr>
          <w:rFonts w:hint="eastAsia" w:ascii="仿宋_GB2312" w:hAnsi="Times New Roman" w:eastAsia="仿宋_GB2312"/>
          <w:sz w:val="30"/>
          <w:szCs w:val="24"/>
        </w:rPr>
        <w:t>20</w:t>
      </w:r>
      <w:r>
        <w:rPr>
          <w:rFonts w:hint="eastAsia" w:ascii="仿宋_GB2312" w:hAnsi="Times New Roman" w:eastAsia="仿宋_GB2312"/>
          <w:sz w:val="30"/>
          <w:szCs w:val="24"/>
          <w:lang w:val="en-US" w:eastAsia="zh-CN"/>
        </w:rPr>
        <w:t>19</w:t>
      </w:r>
      <w:r>
        <w:rPr>
          <w:rFonts w:hint="eastAsia" w:ascii="仿宋_GB2312" w:hAnsi="Times New Roman" w:eastAsia="仿宋_GB2312"/>
          <w:sz w:val="30"/>
          <w:szCs w:val="24"/>
        </w:rPr>
        <w:t>年完成</w:t>
      </w:r>
      <w:r>
        <w:rPr>
          <w:rFonts w:hint="eastAsia" w:ascii="仿宋_GB2312" w:hAnsi="Times New Roman" w:eastAsia="仿宋_GB2312"/>
          <w:sz w:val="30"/>
          <w:szCs w:val="24"/>
          <w:lang w:eastAsia="zh-CN"/>
        </w:rPr>
        <w:t>中心音频设备、公安视联网服务费、派出所战备物资采购等工作。</w:t>
      </w:r>
    </w:p>
    <w:p>
      <w:pPr>
        <w:spacing w:line="600" w:lineRule="exact"/>
        <w:ind w:firstLine="600" w:firstLineChars="200"/>
        <w:rPr>
          <w:rFonts w:ascii="黑体" w:hAnsi="黑体" w:eastAsia="黑体"/>
          <w:sz w:val="30"/>
          <w:szCs w:val="24"/>
        </w:rPr>
      </w:pPr>
      <w:r>
        <w:rPr>
          <w:rFonts w:hint="eastAsia" w:ascii="黑体" w:hAnsi="黑体" w:eastAsia="黑体"/>
          <w:sz w:val="30"/>
          <w:szCs w:val="24"/>
        </w:rPr>
        <w:t>二、绩效评价工作开展情况</w:t>
      </w:r>
    </w:p>
    <w:p>
      <w:pPr>
        <w:spacing w:line="600" w:lineRule="exact"/>
        <w:ind w:firstLine="600" w:firstLineChars="200"/>
        <w:rPr>
          <w:rFonts w:ascii="仿宋_GB2312" w:hAnsi="Times New Roman" w:eastAsia="仿宋_GB2312"/>
          <w:sz w:val="30"/>
          <w:szCs w:val="24"/>
        </w:rPr>
      </w:pPr>
      <w:r>
        <w:rPr>
          <w:rFonts w:hint="eastAsia" w:ascii="仿宋_GB2312" w:hAnsi="Times New Roman" w:eastAsia="仿宋_GB2312"/>
          <w:sz w:val="30"/>
          <w:szCs w:val="24"/>
        </w:rPr>
        <w:t>（一）绩效评价目的、对象和范围。</w:t>
      </w:r>
    </w:p>
    <w:p>
      <w:pPr>
        <w:pStyle w:val="9"/>
        <w:ind w:firstLine="600"/>
        <w:rPr>
          <w:rFonts w:hint="eastAsia" w:ascii="仿宋_GB2312"/>
          <w:sz w:val="30"/>
          <w:szCs w:val="24"/>
        </w:rPr>
      </w:pPr>
      <w:r>
        <w:rPr>
          <w:rFonts w:hint="eastAsia" w:ascii="仿宋_GB2312"/>
          <w:sz w:val="30"/>
          <w:szCs w:val="24"/>
        </w:rPr>
        <w:t>1、绩效评价目的</w:t>
      </w:r>
    </w:p>
    <w:p>
      <w:pPr>
        <w:pStyle w:val="11"/>
        <w:spacing w:line="602" w:lineRule="exact"/>
        <w:ind w:firstLine="640"/>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通过绩效评价，客观地评判项目的管理绩效，了解和掌握2019年专项经费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同时为项目后续资金投入、分配和管理提供决策依据。</w:t>
      </w:r>
    </w:p>
    <w:p>
      <w:pPr>
        <w:pStyle w:val="11"/>
        <w:spacing w:line="601" w:lineRule="exact"/>
        <w:ind w:firstLine="640"/>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同时将绩效评价结果与项目预算挂钩，为下年度专项资金的使用提供决策参考，进一步提高专项资金的使用效益及配置效率，实现财政资源配置效益与效率最大化。</w:t>
      </w:r>
    </w:p>
    <w:p>
      <w:pPr>
        <w:pStyle w:val="9"/>
        <w:ind w:left="420" w:leftChars="200" w:firstLine="0" w:firstLineChars="0"/>
        <w:rPr>
          <w:rFonts w:hint="eastAsia" w:ascii="仿宋_GB2312"/>
          <w:color w:val="auto"/>
          <w:sz w:val="30"/>
          <w:szCs w:val="24"/>
        </w:rPr>
      </w:pPr>
      <w:r>
        <w:rPr>
          <w:rFonts w:hint="eastAsia" w:ascii="仿宋_GB2312"/>
          <w:color w:val="auto"/>
          <w:sz w:val="30"/>
          <w:szCs w:val="24"/>
        </w:rPr>
        <w:t>2、绩效评价对象</w:t>
      </w:r>
    </w:p>
    <w:p>
      <w:pPr>
        <w:pStyle w:val="9"/>
        <w:rPr>
          <w:rFonts w:hint="eastAsia" w:ascii="仿宋_GB2312" w:hAnsi="Times New Roman" w:eastAsia="仿宋_GB2312" w:cs="Times New Roman"/>
          <w:color w:val="auto"/>
          <w:kern w:val="2"/>
          <w:sz w:val="30"/>
          <w:szCs w:val="24"/>
          <w:lang w:val="en-US" w:eastAsia="zh-CN" w:bidi="ar-SA"/>
        </w:rPr>
      </w:pPr>
      <w:r>
        <w:rPr>
          <w:rFonts w:hint="eastAsia" w:ascii="仿宋_GB2312" w:hAnsi="Times New Roman" w:eastAsia="仿宋_GB2312" w:cs="Times New Roman"/>
          <w:color w:val="auto"/>
          <w:kern w:val="2"/>
          <w:sz w:val="30"/>
          <w:szCs w:val="24"/>
          <w:lang w:val="en-US" w:eastAsia="zh-CN" w:bidi="ar-SA"/>
        </w:rPr>
        <w:t>对</w:t>
      </w:r>
      <w:r>
        <w:rPr>
          <w:rFonts w:hint="eastAsia" w:ascii="仿宋_GB2312" w:cs="Times New Roman"/>
          <w:color w:val="auto"/>
          <w:kern w:val="2"/>
          <w:sz w:val="30"/>
          <w:szCs w:val="24"/>
          <w:lang w:val="en-US" w:eastAsia="zh-CN" w:bidi="ar-SA"/>
        </w:rPr>
        <w:t>专项经费</w:t>
      </w:r>
      <w:r>
        <w:rPr>
          <w:rFonts w:hint="eastAsia" w:ascii="仿宋_GB2312" w:hAnsi="Times New Roman" w:eastAsia="仿宋_GB2312" w:cs="Times New Roman"/>
          <w:color w:val="auto"/>
          <w:kern w:val="2"/>
          <w:sz w:val="30"/>
          <w:szCs w:val="24"/>
          <w:lang w:val="en-US" w:eastAsia="zh-CN" w:bidi="ar-SA"/>
        </w:rPr>
        <w:t>从预算编制合理性、资金使用合规性、项目管理的规范性、实施情况、总体绩效目标、各项绩效指标完成情况以及预算执行情况进行科学性评价。</w:t>
      </w:r>
    </w:p>
    <w:p>
      <w:pPr>
        <w:pStyle w:val="9"/>
        <w:ind w:left="420" w:leftChars="200" w:firstLine="0" w:firstLineChars="0"/>
        <w:rPr>
          <w:rFonts w:hint="eastAsia" w:ascii="仿宋_GB2312"/>
          <w:color w:val="auto"/>
          <w:sz w:val="30"/>
          <w:szCs w:val="24"/>
        </w:rPr>
      </w:pPr>
      <w:r>
        <w:rPr>
          <w:rFonts w:hint="eastAsia" w:ascii="仿宋_GB2312"/>
          <w:color w:val="auto"/>
          <w:sz w:val="30"/>
          <w:szCs w:val="24"/>
        </w:rPr>
        <w:t>3、绩效评价范围</w:t>
      </w:r>
    </w:p>
    <w:p>
      <w:pPr>
        <w:pStyle w:val="9"/>
        <w:ind w:firstLine="750" w:firstLineChars="250"/>
        <w:rPr>
          <w:rFonts w:hint="eastAsia" w:ascii="仿宋_GB2312" w:hAnsi="Times New Roman" w:eastAsia="仿宋_GB2312" w:cs="Times New Roman"/>
          <w:color w:val="auto"/>
          <w:kern w:val="2"/>
          <w:sz w:val="30"/>
          <w:szCs w:val="24"/>
          <w:lang w:val="en-US" w:eastAsia="zh-CN" w:bidi="ar-SA"/>
        </w:rPr>
      </w:pPr>
      <w:r>
        <w:rPr>
          <w:rFonts w:hint="eastAsia" w:ascii="仿宋_GB2312" w:hAnsi="Times New Roman" w:eastAsia="仿宋_GB2312" w:cs="Times New Roman"/>
          <w:color w:val="auto"/>
          <w:kern w:val="2"/>
          <w:sz w:val="30"/>
          <w:szCs w:val="24"/>
          <w:lang w:val="en-US" w:eastAsia="zh-CN" w:bidi="ar-SA"/>
        </w:rPr>
        <w:t>本次评价从项目决策（包括绩效目标、决策过程）、项目管理（包括项目资金、项目实施）、项目产出（包括项目产出数量、产出质量、产出时效和产出成本）项目效益四个维度进行评价，评价对象为财政下达预算绩效管理信息化系统建设项目，评价核心为专项资金的支出完成情况和效果。</w:t>
      </w:r>
    </w:p>
    <w:p>
      <w:pPr>
        <w:spacing w:line="600" w:lineRule="exact"/>
        <w:ind w:firstLine="600" w:firstLineChars="200"/>
        <w:rPr>
          <w:rFonts w:ascii="仿宋_GB2312" w:hAnsi="Times New Roman" w:eastAsia="仿宋_GB2312"/>
          <w:sz w:val="30"/>
          <w:szCs w:val="24"/>
        </w:rPr>
      </w:pPr>
      <w:r>
        <w:rPr>
          <w:rFonts w:hint="eastAsia" w:ascii="仿宋_GB2312" w:hAnsi="Times New Roman" w:eastAsia="仿宋_GB2312"/>
          <w:sz w:val="30"/>
          <w:szCs w:val="24"/>
        </w:rPr>
        <w:t>（二）绩效评价原则、评价指标体系（附表说明）、评价方法、评价标准等。</w:t>
      </w:r>
    </w:p>
    <w:p>
      <w:pPr>
        <w:spacing w:line="500" w:lineRule="exact"/>
        <w:ind w:firstLine="585"/>
        <w:rPr>
          <w:rFonts w:hint="eastAsia" w:ascii="仿宋_GB2312" w:hAnsi="Times New Roman" w:eastAsia="仿宋_GB2312"/>
          <w:sz w:val="30"/>
          <w:szCs w:val="24"/>
        </w:rPr>
      </w:pPr>
      <w:r>
        <w:rPr>
          <w:rFonts w:hint="eastAsia" w:ascii="Times New Roman" w:hAnsi="Times New Roman" w:eastAsia="仿宋_GB2312"/>
          <w:sz w:val="28"/>
          <w:szCs w:val="28"/>
        </w:rPr>
        <w:t>1、</w:t>
      </w:r>
      <w:r>
        <w:rPr>
          <w:rFonts w:hint="eastAsia" w:ascii="仿宋_GB2312" w:hAnsi="Times New Roman" w:eastAsia="仿宋_GB2312"/>
          <w:sz w:val="30"/>
          <w:szCs w:val="24"/>
        </w:rPr>
        <w:t>绩效评价原则</w:t>
      </w:r>
    </w:p>
    <w:p>
      <w:pPr>
        <w:pStyle w:val="11"/>
        <w:spacing w:line="601" w:lineRule="exact"/>
        <w:ind w:firstLine="640"/>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坚持真实、科学、公正的原则。绩效评价应当严格执行规定的程序，按照科学可行的要求，采用定量与定性分析相结合的方法；绩效评价应当符合真实、客观、公正的要求，依法公开并接受监督。</w:t>
      </w:r>
    </w:p>
    <w:p>
      <w:pPr>
        <w:pStyle w:val="11"/>
        <w:tabs>
          <w:tab w:val="left" w:pos="1123"/>
        </w:tabs>
        <w:spacing w:line="601" w:lineRule="exact"/>
        <w:ind w:firstLine="640"/>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1</w:t>
      </w:r>
      <w:r>
        <w:rPr>
          <w:rFonts w:ascii="仿宋_GB2312" w:hAnsi="Times New Roman" w:eastAsia="仿宋_GB2312" w:cs="Times New Roman"/>
          <w:szCs w:val="24"/>
          <w:lang w:val="en-US" w:eastAsia="zh-CN" w:bidi="ar-SA"/>
        </w:rPr>
        <w:t>）普遍性原则：应符合</w:t>
      </w:r>
      <w:r>
        <w:rPr>
          <w:rFonts w:hint="eastAsia" w:ascii="仿宋_GB2312" w:hAnsi="Times New Roman" w:eastAsia="仿宋_GB2312" w:cs="Times New Roman"/>
          <w:szCs w:val="24"/>
          <w:lang w:val="en-US" w:eastAsia="zh-CN" w:bidi="ar-SA"/>
        </w:rPr>
        <w:t>政法</w:t>
      </w:r>
      <w:r>
        <w:rPr>
          <w:rFonts w:ascii="仿宋_GB2312" w:hAnsi="Times New Roman" w:eastAsia="仿宋_GB2312" w:cs="Times New Roman"/>
          <w:szCs w:val="24"/>
          <w:lang w:val="en-US" w:eastAsia="zh-CN" w:bidi="ar-SA"/>
        </w:rPr>
        <w:t>工作性质和要求，具有普遍的适用性。</w:t>
      </w:r>
    </w:p>
    <w:p>
      <w:pPr>
        <w:pStyle w:val="11"/>
        <w:tabs>
          <w:tab w:val="left" w:pos="1123"/>
        </w:tabs>
        <w:spacing w:line="601" w:lineRule="exact"/>
        <w:ind w:firstLine="640"/>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2</w:t>
      </w:r>
      <w:r>
        <w:rPr>
          <w:rFonts w:ascii="仿宋_GB2312" w:hAnsi="Times New Roman" w:eastAsia="仿宋_GB2312" w:cs="Times New Roman"/>
          <w:szCs w:val="24"/>
          <w:lang w:val="en-US" w:eastAsia="zh-CN" w:bidi="ar-SA"/>
        </w:rPr>
        <w:t>）经济实用原则：依据现实条件及可操作性，获得相关数据的成本，避免由于数据搜集复杂或者分布广泛而导致绩效评价费用过高，力求简便易行，便于理解和操作，节约评价工作成本。</w:t>
      </w:r>
    </w:p>
    <w:p>
      <w:pPr>
        <w:pStyle w:val="11"/>
        <w:tabs>
          <w:tab w:val="left" w:pos="1123"/>
        </w:tabs>
        <w:spacing w:line="601" w:lineRule="exact"/>
        <w:ind w:firstLine="640"/>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3</w:t>
      </w:r>
      <w:r>
        <w:rPr>
          <w:rFonts w:ascii="仿宋_GB2312" w:hAnsi="Times New Roman" w:eastAsia="仿宋_GB2312" w:cs="Times New Roman"/>
          <w:szCs w:val="24"/>
          <w:lang w:val="en-US" w:eastAsia="zh-CN" w:bidi="ar-SA"/>
        </w:rPr>
        <w:t>）适量原则：要科学、准确、合理，绩效目标不能过高过低，脱离免费开放工作实际。</w:t>
      </w:r>
    </w:p>
    <w:p>
      <w:pPr>
        <w:pStyle w:val="11"/>
        <w:keepNext w:val="0"/>
        <w:keepLines w:val="0"/>
        <w:pageBreakBefore w:val="0"/>
        <w:widowControl w:val="0"/>
        <w:tabs>
          <w:tab w:val="left" w:pos="1123"/>
        </w:tabs>
        <w:kinsoku/>
        <w:wordWrap/>
        <w:overflowPunct/>
        <w:topLinePunct w:val="0"/>
        <w:autoSpaceDE/>
        <w:autoSpaceDN/>
        <w:bidi w:val="0"/>
        <w:adjustRightInd/>
        <w:snapToGrid/>
        <w:spacing w:line="601" w:lineRule="exact"/>
        <w:ind w:firstLine="641"/>
        <w:textAlignment w:val="auto"/>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4</w:t>
      </w:r>
      <w:r>
        <w:rPr>
          <w:rFonts w:ascii="仿宋_GB2312" w:hAnsi="Times New Roman" w:eastAsia="仿宋_GB2312" w:cs="Times New Roman"/>
          <w:szCs w:val="24"/>
          <w:lang w:val="en-US" w:eastAsia="zh-CN" w:bidi="ar-SA"/>
        </w:rPr>
        <w:t>）重要性原则：在选择指标的过程中，要根据指标在整个绩效评价体系中的地位和作用进行筛选，选择最具代表性、最能反映评价要求的指标。</w:t>
      </w:r>
    </w:p>
    <w:p>
      <w:pPr>
        <w:pStyle w:val="11"/>
        <w:keepNext w:val="0"/>
        <w:keepLines w:val="0"/>
        <w:pageBreakBefore w:val="0"/>
        <w:widowControl w:val="0"/>
        <w:tabs>
          <w:tab w:val="left" w:pos="483"/>
        </w:tabs>
        <w:kinsoku/>
        <w:wordWrap/>
        <w:overflowPunct/>
        <w:topLinePunct w:val="0"/>
        <w:autoSpaceDE/>
        <w:autoSpaceDN/>
        <w:bidi w:val="0"/>
        <w:adjustRightInd/>
        <w:snapToGrid/>
        <w:spacing w:line="418" w:lineRule="auto"/>
        <w:ind w:firstLine="641"/>
        <w:textAlignment w:val="auto"/>
        <w:rPr>
          <w:rFonts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5</w:t>
      </w:r>
      <w:r>
        <w:rPr>
          <w:rFonts w:ascii="仿宋_GB2312" w:hAnsi="Times New Roman" w:eastAsia="仿宋_GB2312" w:cs="Times New Roman"/>
          <w:szCs w:val="24"/>
          <w:lang w:val="en-US" w:eastAsia="zh-CN" w:bidi="ar-SA"/>
        </w:rPr>
        <w:t>）可比性原则：要保证评价结果可以在其他</w:t>
      </w:r>
      <w:r>
        <w:rPr>
          <w:rFonts w:hint="eastAsia" w:ascii="仿宋_GB2312" w:hAnsi="Times New Roman" w:eastAsia="仿宋_GB2312" w:cs="Times New Roman"/>
          <w:szCs w:val="24"/>
          <w:lang w:val="en-US" w:eastAsia="zh-CN" w:bidi="ar-SA"/>
        </w:rPr>
        <w:t>县</w:t>
      </w:r>
      <w:r>
        <w:rPr>
          <w:rFonts w:ascii="仿宋_GB2312" w:hAnsi="Times New Roman" w:eastAsia="仿宋_GB2312" w:cs="Times New Roman"/>
          <w:szCs w:val="24"/>
          <w:lang w:val="en-US" w:eastAsia="zh-CN" w:bidi="ar-SA"/>
        </w:rPr>
        <w:t>市之间比 较和借鉴。</w:t>
      </w:r>
    </w:p>
    <w:p>
      <w:pPr>
        <w:pStyle w:val="11"/>
        <w:keepNext w:val="0"/>
        <w:keepLines w:val="0"/>
        <w:pageBreakBefore w:val="0"/>
        <w:widowControl w:val="0"/>
        <w:kinsoku/>
        <w:wordWrap/>
        <w:overflowPunct/>
        <w:topLinePunct w:val="0"/>
        <w:autoSpaceDE/>
        <w:autoSpaceDN/>
        <w:bidi w:val="0"/>
        <w:adjustRightInd/>
        <w:snapToGrid/>
        <w:spacing w:line="605" w:lineRule="exact"/>
        <w:ind w:firstLine="640"/>
        <w:textAlignment w:val="auto"/>
        <w:rPr>
          <w:rFonts w:hint="eastAsia"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6</w:t>
      </w:r>
      <w:r>
        <w:rPr>
          <w:rFonts w:ascii="仿宋_GB2312" w:hAnsi="Times New Roman" w:eastAsia="仿宋_GB2312" w:cs="Times New Roman"/>
          <w:szCs w:val="24"/>
          <w:lang w:val="en-US" w:eastAsia="zh-CN" w:bidi="ar-SA"/>
        </w:rPr>
        <w:t>）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pPr>
        <w:pStyle w:val="11"/>
        <w:keepNext w:val="0"/>
        <w:keepLines w:val="0"/>
        <w:pageBreakBefore w:val="0"/>
        <w:widowControl w:val="0"/>
        <w:kinsoku/>
        <w:wordWrap/>
        <w:overflowPunct/>
        <w:topLinePunct w:val="0"/>
        <w:autoSpaceDE/>
        <w:autoSpaceDN/>
        <w:bidi w:val="0"/>
        <w:adjustRightInd/>
        <w:snapToGrid/>
        <w:spacing w:line="605" w:lineRule="exact"/>
        <w:ind w:firstLine="640"/>
        <w:textAlignment w:val="auto"/>
        <w:rPr>
          <w:rFonts w:hint="eastAsia" w:ascii="仿宋_GB2312" w:hAnsi="Times New Roman" w:eastAsia="仿宋_GB2312" w:cs="Times New Roman"/>
          <w:szCs w:val="24"/>
          <w:lang w:eastAsia="zh-CN"/>
        </w:rPr>
      </w:pPr>
      <w:r>
        <w:rPr>
          <w:rFonts w:hint="eastAsia" w:ascii="仿宋_GB2312" w:hAnsi="Times New Roman" w:eastAsia="仿宋_GB2312" w:cs="Times New Roman"/>
          <w:szCs w:val="24"/>
          <w:lang w:eastAsia="zh-CN"/>
        </w:rPr>
        <w:t>2、</w:t>
      </w:r>
      <w:r>
        <w:rPr>
          <w:rFonts w:hint="eastAsia" w:ascii="仿宋_GB2312" w:hAnsi="Times New Roman" w:eastAsia="仿宋_GB2312" w:cs="Times New Roman"/>
          <w:szCs w:val="24"/>
        </w:rPr>
        <w:t>绩效评价指标体系</w:t>
      </w:r>
    </w:p>
    <w:p>
      <w:pPr>
        <w:pStyle w:val="11"/>
        <w:keepNext w:val="0"/>
        <w:keepLines w:val="0"/>
        <w:pageBreakBefore w:val="0"/>
        <w:widowControl w:val="0"/>
        <w:kinsoku/>
        <w:wordWrap/>
        <w:overflowPunct/>
        <w:topLinePunct w:val="0"/>
        <w:autoSpaceDE/>
        <w:autoSpaceDN/>
        <w:bidi w:val="0"/>
        <w:adjustRightInd/>
        <w:snapToGrid/>
        <w:spacing w:line="605" w:lineRule="exact"/>
        <w:ind w:firstLine="640"/>
        <w:textAlignment w:val="auto"/>
        <w:rPr>
          <w:rFonts w:hint="eastAsia" w:ascii="仿宋_GB2312" w:hAnsi="Times New Roman" w:eastAsia="仿宋_GB2312" w:cs="Times New Roman"/>
          <w:szCs w:val="24"/>
          <w:lang w:eastAsia="zh-CN"/>
        </w:rPr>
      </w:pPr>
      <w:r>
        <w:rPr>
          <w:rFonts w:ascii="仿宋_GB2312" w:hAnsi="Times New Roman" w:eastAsia="仿宋_GB2312" w:cs="Times New Roman"/>
          <w:szCs w:val="24"/>
          <w:lang w:val="en-US" w:eastAsia="zh-CN"/>
        </w:rPr>
        <w:t>绩效评价指标的确定遵循以下原则：</w:t>
      </w:r>
      <w:bookmarkStart w:id="5" w:name="bookmark71"/>
      <w:bookmarkEnd w:id="5"/>
    </w:p>
    <w:p>
      <w:pPr>
        <w:pStyle w:val="11"/>
        <w:keepNext w:val="0"/>
        <w:keepLines w:val="0"/>
        <w:pageBreakBefore w:val="0"/>
        <w:widowControl w:val="0"/>
        <w:kinsoku/>
        <w:wordWrap/>
        <w:overflowPunct/>
        <w:topLinePunct w:val="0"/>
        <w:autoSpaceDE/>
        <w:autoSpaceDN/>
        <w:bidi w:val="0"/>
        <w:adjustRightInd/>
        <w:snapToGrid/>
        <w:spacing w:line="605" w:lineRule="exact"/>
        <w:ind w:firstLine="600" w:firstLineChars="200"/>
        <w:textAlignment w:val="auto"/>
        <w:rPr>
          <w:rFonts w:hint="eastAsia" w:ascii="仿宋_GB2312" w:hAnsi="Times New Roman" w:eastAsia="仿宋_GB2312" w:cs="Times New Roman"/>
          <w:szCs w:val="24"/>
          <w:lang w:val="en-US" w:eastAsia="zh-CN"/>
        </w:rPr>
      </w:pPr>
      <w:r>
        <w:rPr>
          <w:rFonts w:ascii="仿宋_GB2312" w:hAnsi="Times New Roman" w:eastAsia="仿宋_GB2312" w:cs="Times New Roman"/>
          <w:szCs w:val="24"/>
          <w:lang w:val="en-US"/>
        </w:rPr>
        <w:t>（</w:t>
      </w:r>
      <w:r>
        <w:rPr>
          <w:rFonts w:hint="eastAsia" w:ascii="仿宋_GB2312" w:hAnsi="Times New Roman" w:eastAsia="仿宋_GB2312" w:cs="Times New Roman"/>
          <w:szCs w:val="24"/>
          <w:lang w:val="en-US" w:eastAsia="zh-CN"/>
        </w:rPr>
        <w:t>1</w:t>
      </w:r>
      <w:r>
        <w:rPr>
          <w:rFonts w:ascii="仿宋_GB2312" w:hAnsi="Times New Roman" w:eastAsia="仿宋_GB2312" w:cs="Times New Roman"/>
          <w:szCs w:val="24"/>
          <w:lang w:val="en-US"/>
        </w:rPr>
        <w:t>）</w:t>
      </w:r>
      <w:r>
        <w:rPr>
          <w:rFonts w:ascii="仿宋_GB2312" w:hAnsi="Times New Roman" w:eastAsia="仿宋_GB2312" w:cs="Times New Roman"/>
          <w:szCs w:val="24"/>
          <w:lang w:val="en-US" w:eastAsia="zh-CN"/>
        </w:rPr>
        <w:t>相关性原则一一应当与绩效目标有直接的联系，能够恰当反映目标的实现程度。</w:t>
      </w:r>
      <w:bookmarkStart w:id="6" w:name="bookmark72"/>
      <w:bookmarkEnd w:id="6"/>
    </w:p>
    <w:p>
      <w:pPr>
        <w:pStyle w:val="11"/>
        <w:keepNext w:val="0"/>
        <w:keepLines w:val="0"/>
        <w:pageBreakBefore w:val="0"/>
        <w:widowControl w:val="0"/>
        <w:kinsoku/>
        <w:wordWrap/>
        <w:overflowPunct/>
        <w:topLinePunct w:val="0"/>
        <w:autoSpaceDE/>
        <w:autoSpaceDN/>
        <w:bidi w:val="0"/>
        <w:adjustRightInd/>
        <w:snapToGrid/>
        <w:spacing w:line="605" w:lineRule="exact"/>
        <w:ind w:firstLine="640"/>
        <w:textAlignment w:val="auto"/>
        <w:rPr>
          <w:rFonts w:ascii="仿宋_GB2312" w:hAnsi="Times New Roman" w:eastAsia="仿宋_GB2312" w:cs="Times New Roman"/>
          <w:szCs w:val="24"/>
          <w:lang w:eastAsia="zh-CN"/>
        </w:rPr>
      </w:pPr>
      <w:r>
        <w:rPr>
          <w:rFonts w:ascii="仿宋_GB2312" w:hAnsi="Times New Roman" w:eastAsia="仿宋_GB2312" w:cs="Times New Roman"/>
          <w:szCs w:val="24"/>
          <w:lang w:val="en-US" w:eastAsia="zh-CN"/>
        </w:rPr>
        <w:t>（</w:t>
      </w:r>
      <w:r>
        <w:rPr>
          <w:rFonts w:hint="eastAsia" w:ascii="仿宋_GB2312" w:hAnsi="Times New Roman" w:eastAsia="仿宋_GB2312" w:cs="Times New Roman"/>
          <w:szCs w:val="24"/>
          <w:lang w:val="en-US" w:eastAsia="zh-CN"/>
        </w:rPr>
        <w:t>2</w:t>
      </w:r>
      <w:r>
        <w:rPr>
          <w:rFonts w:ascii="仿宋_GB2312" w:hAnsi="Times New Roman" w:eastAsia="仿宋_GB2312" w:cs="Times New Roman"/>
          <w:szCs w:val="24"/>
          <w:lang w:val="en-US" w:eastAsia="zh-CN"/>
        </w:rPr>
        <w:t>）重要性原则一一优先使用最具评价对象代表性、最能反映评价要求的核心指标。</w:t>
      </w:r>
    </w:p>
    <w:p>
      <w:pPr>
        <w:pStyle w:val="11"/>
        <w:keepNext w:val="0"/>
        <w:keepLines w:val="0"/>
        <w:pageBreakBefore w:val="0"/>
        <w:widowControl w:val="0"/>
        <w:tabs>
          <w:tab w:val="left" w:pos="1316"/>
        </w:tabs>
        <w:kinsoku/>
        <w:wordWrap/>
        <w:overflowPunct/>
        <w:topLinePunct w:val="0"/>
        <w:autoSpaceDE/>
        <w:autoSpaceDN/>
        <w:bidi w:val="0"/>
        <w:adjustRightInd/>
        <w:snapToGrid/>
        <w:spacing w:line="648" w:lineRule="exact"/>
        <w:ind w:firstLine="699" w:firstLineChars="233"/>
        <w:jc w:val="left"/>
        <w:textAlignment w:val="auto"/>
        <w:rPr>
          <w:rFonts w:ascii="仿宋_GB2312" w:hAnsi="Times New Roman" w:eastAsia="仿宋_GB2312" w:cs="Times New Roman"/>
          <w:szCs w:val="24"/>
          <w:lang w:val="en-US" w:eastAsia="zh-CN"/>
        </w:rPr>
      </w:pPr>
      <w:bookmarkStart w:id="7" w:name="bookmark73"/>
      <w:bookmarkEnd w:id="7"/>
      <w:r>
        <w:rPr>
          <w:rFonts w:hint="eastAsia" w:ascii="仿宋_GB2312" w:hAnsi="Times New Roman" w:eastAsia="仿宋_GB2312" w:cs="Times New Roman"/>
          <w:szCs w:val="24"/>
          <w:lang w:val="en-US" w:eastAsia="zh-CN"/>
        </w:rPr>
        <w:t>（3）</w:t>
      </w:r>
      <w:r>
        <w:rPr>
          <w:rFonts w:ascii="仿宋_GB2312" w:hAnsi="Times New Roman" w:eastAsia="仿宋_GB2312" w:cs="Times New Roman"/>
          <w:szCs w:val="24"/>
          <w:lang w:val="en-US" w:eastAsia="zh-CN"/>
        </w:rPr>
        <w:t>可比性原则一一对同类评价对象要设定共性的绩效 评价指标，以便于评价结果可以相互比较。</w:t>
      </w:r>
    </w:p>
    <w:p>
      <w:pPr>
        <w:pStyle w:val="11"/>
        <w:keepNext w:val="0"/>
        <w:keepLines w:val="0"/>
        <w:pageBreakBefore w:val="0"/>
        <w:widowControl w:val="0"/>
        <w:tabs>
          <w:tab w:val="left" w:pos="1316"/>
        </w:tabs>
        <w:kinsoku/>
        <w:wordWrap/>
        <w:overflowPunct/>
        <w:topLinePunct w:val="0"/>
        <w:autoSpaceDE/>
        <w:autoSpaceDN/>
        <w:bidi w:val="0"/>
        <w:adjustRightInd/>
        <w:snapToGrid/>
        <w:spacing w:line="637" w:lineRule="exact"/>
        <w:ind w:firstLine="699" w:firstLineChars="233"/>
        <w:jc w:val="left"/>
        <w:textAlignment w:val="auto"/>
        <w:rPr>
          <w:rFonts w:ascii="仿宋_GB2312" w:hAnsi="Times New Roman" w:eastAsia="仿宋_GB2312" w:cs="Times New Roman"/>
          <w:szCs w:val="24"/>
          <w:lang w:val="en-US" w:eastAsia="zh-CN"/>
        </w:rPr>
      </w:pPr>
      <w:bookmarkStart w:id="8" w:name="bookmark74"/>
      <w:bookmarkEnd w:id="8"/>
      <w:r>
        <w:rPr>
          <w:rFonts w:hint="eastAsia" w:ascii="仿宋_GB2312" w:hAnsi="Times New Roman" w:eastAsia="仿宋_GB2312" w:cs="Times New Roman"/>
          <w:szCs w:val="24"/>
          <w:lang w:val="en-US" w:eastAsia="zh-CN"/>
        </w:rPr>
        <w:t>（4）</w:t>
      </w:r>
      <w:r>
        <w:rPr>
          <w:rFonts w:ascii="仿宋_GB2312" w:hAnsi="Times New Roman" w:eastAsia="仿宋_GB2312" w:cs="Times New Roman"/>
          <w:szCs w:val="24"/>
          <w:lang w:val="en-US" w:eastAsia="zh-CN"/>
        </w:rPr>
        <w:t>系统性原则一一应当将定量指标与定性指标相结合，系统反映财政支出所产生的社会效益、经济效益、环境 效益和可持续影响等。</w:t>
      </w:r>
    </w:p>
    <w:p>
      <w:pPr>
        <w:pStyle w:val="11"/>
        <w:keepNext w:val="0"/>
        <w:keepLines w:val="0"/>
        <w:pageBreakBefore w:val="0"/>
        <w:widowControl w:val="0"/>
        <w:tabs>
          <w:tab w:val="left" w:pos="1316"/>
        </w:tabs>
        <w:kinsoku/>
        <w:wordWrap/>
        <w:overflowPunct/>
        <w:topLinePunct w:val="0"/>
        <w:autoSpaceDE/>
        <w:autoSpaceDN/>
        <w:bidi w:val="0"/>
        <w:adjustRightInd/>
        <w:snapToGrid/>
        <w:spacing w:line="605" w:lineRule="exact"/>
        <w:ind w:firstLine="600" w:firstLineChars="200"/>
        <w:jc w:val="left"/>
        <w:textAlignment w:val="auto"/>
        <w:rPr>
          <w:rFonts w:hint="eastAsia" w:ascii="仿宋_GB2312" w:hAnsi="Times New Roman" w:eastAsia="仿宋_GB2312" w:cs="Times New Roman"/>
          <w:szCs w:val="24"/>
          <w:lang w:val="en-US" w:bidi="ar-SA"/>
        </w:rPr>
      </w:pPr>
      <w:bookmarkStart w:id="9" w:name="bookmark75"/>
      <w:bookmarkEnd w:id="9"/>
      <w:r>
        <w:rPr>
          <w:rFonts w:hint="eastAsia" w:ascii="仿宋_GB2312" w:hAnsi="Times New Roman" w:eastAsia="仿宋_GB2312" w:cs="Times New Roman"/>
          <w:szCs w:val="24"/>
          <w:lang w:val="en-US" w:eastAsia="zh-CN"/>
        </w:rPr>
        <w:t>（5）</w:t>
      </w:r>
      <w:r>
        <w:rPr>
          <w:rFonts w:ascii="仿宋_GB2312" w:hAnsi="Times New Roman" w:eastAsia="仿宋_GB2312" w:cs="Times New Roman"/>
          <w:szCs w:val="24"/>
          <w:lang w:val="en-US" w:eastAsia="zh-CN"/>
        </w:rPr>
        <w:t>经济性原则一一应当通俗易懂、简便易行，数据的获得应当考虑现实条件和可操作性，符合成本效益原则。</w:t>
      </w:r>
    </w:p>
    <w:p>
      <w:pPr>
        <w:pStyle w:val="11"/>
        <w:keepNext w:val="0"/>
        <w:keepLines w:val="0"/>
        <w:pageBreakBefore w:val="0"/>
        <w:widowControl w:val="0"/>
        <w:tabs>
          <w:tab w:val="left" w:pos="979"/>
        </w:tabs>
        <w:kinsoku/>
        <w:wordWrap/>
        <w:overflowPunct/>
        <w:topLinePunct w:val="0"/>
        <w:autoSpaceDE/>
        <w:autoSpaceDN/>
        <w:bidi w:val="0"/>
        <w:adjustRightInd/>
        <w:snapToGrid/>
        <w:spacing w:line="446" w:lineRule="auto"/>
        <w:ind w:left="500" w:firstLine="0"/>
        <w:textAlignment w:val="auto"/>
        <w:rPr>
          <w:rFonts w:hint="eastAsia" w:ascii="仿宋_GB2312" w:hAnsi="Times New Roman" w:eastAsia="仿宋_GB2312" w:cs="Times New Roman"/>
          <w:szCs w:val="24"/>
          <w:lang w:val="en-US" w:eastAsia="zh-CN"/>
        </w:rPr>
      </w:pPr>
      <w:r>
        <w:rPr>
          <w:rFonts w:ascii="仿宋_GB2312" w:hAnsi="Times New Roman" w:eastAsia="仿宋_GB2312" w:cs="Times New Roman"/>
          <w:szCs w:val="24"/>
          <w:lang w:val="en-US" w:eastAsia="zh-CN"/>
        </w:rPr>
        <w:t>绩效评价指标体系设定：</w:t>
      </w:r>
    </w:p>
    <w:p>
      <w:pPr>
        <w:pStyle w:val="11"/>
        <w:keepNext w:val="0"/>
        <w:keepLines w:val="0"/>
        <w:pageBreakBefore w:val="0"/>
        <w:widowControl w:val="0"/>
        <w:tabs>
          <w:tab w:val="left" w:pos="979"/>
        </w:tabs>
        <w:kinsoku/>
        <w:wordWrap/>
        <w:overflowPunct/>
        <w:topLinePunct w:val="0"/>
        <w:autoSpaceDE/>
        <w:autoSpaceDN/>
        <w:bidi w:val="0"/>
        <w:adjustRightInd/>
        <w:snapToGrid/>
        <w:spacing w:line="446" w:lineRule="auto"/>
        <w:ind w:firstLine="699" w:firstLineChars="233"/>
        <w:textAlignment w:val="auto"/>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见附件1）</w:t>
      </w:r>
    </w:p>
    <w:p>
      <w:pPr>
        <w:pStyle w:val="11"/>
        <w:keepNext w:val="0"/>
        <w:keepLines w:val="0"/>
        <w:pageBreakBefore w:val="0"/>
        <w:widowControl w:val="0"/>
        <w:tabs>
          <w:tab w:val="left" w:pos="979"/>
        </w:tabs>
        <w:kinsoku/>
        <w:wordWrap/>
        <w:overflowPunct/>
        <w:topLinePunct w:val="0"/>
        <w:autoSpaceDE/>
        <w:autoSpaceDN/>
        <w:bidi w:val="0"/>
        <w:adjustRightInd/>
        <w:snapToGrid/>
        <w:spacing w:line="446" w:lineRule="auto"/>
        <w:ind w:firstLine="699" w:firstLineChars="233"/>
        <w:textAlignment w:val="auto"/>
        <w:rPr>
          <w:rFonts w:hint="eastAsia"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在对</w:t>
      </w:r>
      <w:r>
        <w:rPr>
          <w:rFonts w:hint="eastAsia" w:ascii="仿宋_GB2312" w:hAnsi="Times New Roman" w:eastAsia="仿宋_GB2312" w:cs="Times New Roman"/>
          <w:szCs w:val="24"/>
          <w:lang w:val="en-US" w:eastAsia="zh-CN" w:bidi="ar-SA"/>
        </w:rPr>
        <w:t>专项经费</w:t>
      </w:r>
      <w:r>
        <w:rPr>
          <w:rFonts w:ascii="仿宋_GB2312" w:hAnsi="Times New Roman" w:eastAsia="仿宋_GB2312" w:cs="Times New Roman"/>
          <w:szCs w:val="24"/>
          <w:lang w:val="en-US" w:eastAsia="zh-CN" w:bidi="ar-SA"/>
        </w:rPr>
        <w:t>深入调研的基础上，按照《项目支出绩效评价管理办法》（财预〔20</w:t>
      </w:r>
      <w:r>
        <w:rPr>
          <w:rFonts w:hint="eastAsia" w:ascii="仿宋_GB2312" w:hAnsi="Times New Roman" w:eastAsia="仿宋_GB2312" w:cs="Times New Roman"/>
          <w:szCs w:val="24"/>
          <w:lang w:val="en-US" w:eastAsia="zh-CN" w:bidi="ar-SA"/>
        </w:rPr>
        <w:t>20</w:t>
      </w:r>
      <w:r>
        <w:rPr>
          <w:rFonts w:ascii="仿宋_GB2312" w:hAnsi="Times New Roman" w:eastAsia="仿宋_GB2312" w:cs="Times New Roman"/>
          <w:szCs w:val="24"/>
          <w:lang w:val="en-US" w:eastAsia="zh-CN" w:bidi="ar-SA"/>
        </w:rPr>
        <w:t>〕</w:t>
      </w:r>
      <w:r>
        <w:rPr>
          <w:rFonts w:hint="eastAsia" w:ascii="仿宋_GB2312" w:hAnsi="Times New Roman" w:eastAsia="仿宋_GB2312" w:cs="Times New Roman"/>
          <w:szCs w:val="24"/>
          <w:lang w:val="en-US" w:eastAsia="zh-CN" w:bidi="ar-SA"/>
        </w:rPr>
        <w:t>10号</w:t>
      </w:r>
      <w:r>
        <w:rPr>
          <w:rFonts w:ascii="仿宋_GB2312" w:hAnsi="Times New Roman" w:eastAsia="仿宋_GB2312" w:cs="Times New Roman"/>
          <w:szCs w:val="24"/>
          <w:lang w:val="en-US" w:eastAsia="zh-CN" w:bidi="ar-SA"/>
        </w:rPr>
        <w:t>）对于指标体系的要求和规范，建立一套适合评价</w:t>
      </w:r>
      <w:r>
        <w:rPr>
          <w:rFonts w:hint="eastAsia" w:ascii="仿宋_GB2312" w:hAnsi="Times New Roman" w:eastAsia="仿宋_GB2312" w:cs="Times New Roman"/>
          <w:szCs w:val="24"/>
          <w:lang w:val="en-US" w:eastAsia="zh-CN" w:bidi="ar-SA"/>
        </w:rPr>
        <w:t>专项经费</w:t>
      </w:r>
      <w:r>
        <w:rPr>
          <w:rFonts w:ascii="仿宋_GB2312" w:hAnsi="Times New Roman" w:eastAsia="仿宋_GB2312" w:cs="Times New Roman"/>
          <w:szCs w:val="24"/>
          <w:lang w:val="en-US" w:eastAsia="zh-CN" w:bidi="ar-SA"/>
        </w:rPr>
        <w:t>项目的指标体系，从项目决策、项目过程、项目产出和项目绩效四个维度全面</w:t>
      </w:r>
      <w:r>
        <w:rPr>
          <w:rFonts w:hint="eastAsia" w:ascii="仿宋_GB2312" w:hAnsi="Times New Roman" w:eastAsia="仿宋_GB2312" w:cs="Times New Roman"/>
          <w:szCs w:val="24"/>
          <w:lang w:val="en-US" w:eastAsia="zh-CN" w:bidi="ar-SA"/>
        </w:rPr>
        <w:t>专项经费</w:t>
      </w:r>
      <w:r>
        <w:rPr>
          <w:rFonts w:ascii="仿宋_GB2312" w:hAnsi="Times New Roman" w:eastAsia="仿宋_GB2312" w:cs="Times New Roman"/>
          <w:szCs w:val="24"/>
          <w:lang w:val="en-US" w:eastAsia="zh-CN" w:bidi="ar-SA"/>
        </w:rPr>
        <w:t>项目资金的效益，并重点对于项目的产出和绩效进行总体分析，以达到通过指标体系的科学评价反思管理及决策问题的目标。</w:t>
      </w:r>
      <w:r>
        <w:rPr>
          <w:rFonts w:hint="eastAsia" w:ascii="仿宋_GB2312" w:hAnsi="Times New Roman" w:eastAsia="仿宋_GB2312" w:cs="Times New Roman"/>
          <w:szCs w:val="24"/>
          <w:lang w:val="en-US" w:eastAsia="zh-CN" w:bidi="ar-SA"/>
        </w:rPr>
        <w:t>（见附件1）</w:t>
      </w:r>
    </w:p>
    <w:p>
      <w:pPr>
        <w:pStyle w:val="11"/>
        <w:tabs>
          <w:tab w:val="left" w:pos="979"/>
        </w:tabs>
        <w:spacing w:line="446" w:lineRule="auto"/>
        <w:ind w:firstLine="699" w:firstLineChars="233"/>
        <w:rPr>
          <w:rFonts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rPr>
        <w:t>3、</w:t>
      </w:r>
      <w:r>
        <w:rPr>
          <w:rFonts w:hint="eastAsia" w:ascii="仿宋_GB2312" w:hAnsi="Times New Roman" w:eastAsia="仿宋_GB2312" w:cs="Times New Roman"/>
          <w:szCs w:val="24"/>
        </w:rPr>
        <w:t>绩效评价方法</w:t>
      </w:r>
    </w:p>
    <w:p>
      <w:pPr>
        <w:pStyle w:val="11"/>
        <w:spacing w:line="619" w:lineRule="exact"/>
        <w:ind w:firstLine="500"/>
        <w:jc w:val="left"/>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绩效评价方法主要包括成本效益分析法、比较法、因素分析法、最低成本法、公众评判法、标杆管理法等。根据评价对象的具体情况，可采用一种或多种方法。</w:t>
      </w:r>
    </w:p>
    <w:p>
      <w:pPr>
        <w:pStyle w:val="11"/>
        <w:spacing w:line="619" w:lineRule="exact"/>
        <w:ind w:firstLine="500"/>
        <w:jc w:val="left"/>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（一）成本效益分析法。是指将投入与产出、效益进行关联性分析的方法。</w:t>
      </w:r>
    </w:p>
    <w:p>
      <w:pPr>
        <w:pStyle w:val="11"/>
        <w:spacing w:line="619" w:lineRule="exact"/>
        <w:ind w:firstLine="500"/>
        <w:jc w:val="left"/>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（二）比较法。是指将实施情况与绩效目标、历史情况、不同部门和地区同类支出情况进行比较的方法。</w:t>
      </w:r>
    </w:p>
    <w:p>
      <w:pPr>
        <w:pStyle w:val="11"/>
        <w:spacing w:line="619" w:lineRule="exact"/>
        <w:ind w:firstLine="500"/>
        <w:jc w:val="left"/>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（三）因素分析法。是指综合分析影响绩效目标实现、实施效果的内外部因素的方法。</w:t>
      </w:r>
    </w:p>
    <w:p>
      <w:pPr>
        <w:pStyle w:val="11"/>
        <w:spacing w:line="619" w:lineRule="exact"/>
        <w:ind w:firstLine="500"/>
        <w:jc w:val="left"/>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（四）最低成本法。是指在绩效目标确定的前提下，成本最小者为优的方法。</w:t>
      </w:r>
    </w:p>
    <w:p>
      <w:pPr>
        <w:pStyle w:val="11"/>
        <w:spacing w:line="619" w:lineRule="exact"/>
        <w:ind w:firstLine="500"/>
        <w:jc w:val="left"/>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（五）公众评判法。是指通过专家评估、公众问卷及抽样调查等方式进行评判的方法。</w:t>
      </w:r>
    </w:p>
    <w:p>
      <w:pPr>
        <w:pStyle w:val="11"/>
        <w:spacing w:line="619" w:lineRule="exact"/>
        <w:ind w:firstLine="500"/>
        <w:jc w:val="left"/>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（六）标杆管理法。是指以国内外同行业中较高的绩效水平为标杆进行评判的方法。</w:t>
      </w:r>
    </w:p>
    <w:p>
      <w:pPr>
        <w:pStyle w:val="11"/>
        <w:spacing w:line="619" w:lineRule="exact"/>
        <w:ind w:firstLine="500"/>
        <w:jc w:val="left"/>
        <w:rPr>
          <w:rFonts w:hint="eastAsia" w:ascii="Times New Roman" w:hAnsi="Times New Roman" w:eastAsia="仿宋_GB2312"/>
          <w:b/>
          <w:color w:val="FF0000"/>
          <w:sz w:val="28"/>
          <w:szCs w:val="28"/>
          <w:highlight w:val="yellow"/>
          <w:lang w:eastAsia="zh-CN"/>
        </w:rPr>
      </w:pPr>
      <w:r>
        <w:rPr>
          <w:rFonts w:hint="eastAsia" w:ascii="仿宋_GB2312" w:hAnsi="Times New Roman" w:eastAsia="仿宋_GB2312" w:cs="Times New Roman"/>
          <w:szCs w:val="24"/>
          <w:lang w:val="en-US" w:eastAsia="zh-CN" w:bidi="ar-SA"/>
        </w:rPr>
        <w:t>（七）其他评价方法。</w:t>
      </w:r>
    </w:p>
    <w:p>
      <w:pPr>
        <w:spacing w:line="500" w:lineRule="exact"/>
        <w:ind w:firstLine="585"/>
        <w:rPr>
          <w:rFonts w:hint="eastAsia" w:ascii="仿宋_GB2312" w:hAnsi="Times New Roman" w:eastAsia="仿宋_GB2312" w:cs="Times New Roman"/>
          <w:kern w:val="2"/>
          <w:sz w:val="30"/>
          <w:szCs w:val="24"/>
          <w:u w:val="none"/>
          <w:shd w:val="clear" w:color="auto" w:fill="auto"/>
          <w:lang w:val="en-US" w:eastAsia="zh-CN" w:bidi="ar-SA"/>
        </w:rPr>
      </w:pPr>
      <w:r>
        <w:rPr>
          <w:rFonts w:hint="eastAsia" w:ascii="Times New Roman" w:hAnsi="Times New Roman" w:eastAsia="仿宋_GB2312"/>
          <w:b/>
          <w:sz w:val="28"/>
          <w:szCs w:val="28"/>
        </w:rPr>
        <w:t>文献</w:t>
      </w:r>
      <w:r>
        <w:rPr>
          <w:rFonts w:ascii="Times New Roman" w:hAnsi="Times New Roman" w:eastAsia="仿宋_GB2312"/>
          <w:b/>
          <w:sz w:val="28"/>
          <w:szCs w:val="28"/>
        </w:rPr>
        <w:t>法</w:t>
      </w:r>
      <w:r>
        <w:rPr>
          <w:rFonts w:hint="eastAsia" w:ascii="Times New Roman" w:hAnsi="Times New Roman" w:eastAsia="仿宋_GB2312"/>
          <w:b/>
          <w:sz w:val="28"/>
          <w:szCs w:val="28"/>
        </w:rPr>
        <w:t>：</w:t>
      </w:r>
      <w:r>
        <w:rPr>
          <w:rFonts w:hint="eastAsia" w:ascii="仿宋_GB2312" w:hAnsi="Times New Roman" w:eastAsia="仿宋_GB2312" w:cs="Times New Roman"/>
          <w:kern w:val="2"/>
          <w:sz w:val="30"/>
          <w:szCs w:val="24"/>
          <w:u w:val="none"/>
          <w:shd w:val="clear" w:color="auto" w:fill="auto"/>
          <w:lang w:val="en-US" w:eastAsia="zh-CN" w:bidi="ar-SA"/>
        </w:rPr>
        <w:t>通过检索、查阅、梳理国家、自治区、地州有关政府部门制定的劳动密集型产业发展的相关的政策文件，了解本专项资金政策内容、目标，以及上级的相关产业规划，考察本专项资金设立与国家、自治区相关战略规划是否匹配。</w:t>
      </w:r>
    </w:p>
    <w:p>
      <w:pPr>
        <w:spacing w:line="500" w:lineRule="exact"/>
        <w:ind w:firstLine="585"/>
        <w:rPr>
          <w:rFonts w:hint="eastAsia" w:ascii="仿宋_GB2312" w:hAnsi="Times New Roman" w:eastAsia="仿宋_GB2312" w:cs="Times New Roman"/>
          <w:kern w:val="2"/>
          <w:sz w:val="30"/>
          <w:szCs w:val="24"/>
          <w:u w:val="none"/>
          <w:shd w:val="clear" w:color="auto" w:fill="auto"/>
          <w:lang w:val="en-US" w:eastAsia="zh-CN" w:bidi="ar-SA"/>
        </w:rPr>
      </w:pPr>
      <w:r>
        <w:rPr>
          <w:rFonts w:hint="eastAsia" w:ascii="Times New Roman" w:hAnsi="Times New Roman" w:eastAsia="仿宋_GB2312"/>
          <w:b/>
          <w:bCs/>
          <w:sz w:val="28"/>
          <w:szCs w:val="28"/>
        </w:rPr>
        <w:t>材料核实法：</w:t>
      </w:r>
      <w:r>
        <w:rPr>
          <w:rFonts w:hint="eastAsia" w:ascii="仿宋_GB2312" w:hAnsi="Times New Roman" w:eastAsia="仿宋_GB2312" w:cs="Times New Roman"/>
          <w:kern w:val="2"/>
          <w:sz w:val="30"/>
          <w:szCs w:val="24"/>
          <w:u w:val="none"/>
          <w:shd w:val="clear" w:color="auto" w:fill="auto"/>
          <w:lang w:val="en-US" w:eastAsia="zh-CN" w:bidi="ar-SA"/>
        </w:rPr>
        <w:t>通过查账了解项目资金实际开支情况，包括是否专款专用、是否按标准支出。检查实施单位专项资金凭证及账册，核实项目资金拨付时间、金额、支出时间、内容、范围和标准等，核实各项支出是否按照资金管理办法的范围和标准执行，是否存在超范围列支的情况。</w:t>
      </w:r>
    </w:p>
    <w:p>
      <w:pPr>
        <w:pStyle w:val="11"/>
        <w:spacing w:line="526" w:lineRule="exact"/>
        <w:ind w:firstLine="640"/>
        <w:rPr>
          <w:rFonts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专项经费</w:t>
      </w:r>
      <w:r>
        <w:rPr>
          <w:rFonts w:ascii="仿宋_GB2312" w:hAnsi="Times New Roman" w:eastAsia="仿宋_GB2312" w:cs="Times New Roman"/>
          <w:szCs w:val="24"/>
          <w:lang w:val="en-US" w:eastAsia="zh-CN" w:bidi="ar-SA"/>
        </w:rPr>
        <w:t>主要用于</w:t>
      </w:r>
      <w:r>
        <w:rPr>
          <w:rFonts w:hint="eastAsia" w:ascii="仿宋_GB2312" w:hAnsi="Times New Roman" w:eastAsia="仿宋_GB2312" w:cs="Times New Roman"/>
          <w:szCs w:val="24"/>
          <w:lang w:val="en-US" w:eastAsia="zh-CN" w:bidi="ar-SA"/>
        </w:rPr>
        <w:t>支持我区政法重点工作</w:t>
      </w:r>
      <w:r>
        <w:rPr>
          <w:rFonts w:ascii="仿宋_GB2312" w:hAnsi="Times New Roman" w:eastAsia="仿宋_GB2312" w:cs="Times New Roman"/>
          <w:szCs w:val="24"/>
          <w:lang w:val="en-US" w:eastAsia="zh-CN" w:bidi="ar-SA"/>
        </w:rPr>
        <w:t>，根据项目资金的性质和特点，我们选用</w:t>
      </w:r>
      <w:r>
        <w:rPr>
          <w:rFonts w:hint="eastAsia" w:ascii="仿宋_GB2312" w:hAnsi="Times New Roman" w:eastAsia="仿宋_GB2312" w:cs="Times New Roman"/>
          <w:szCs w:val="24"/>
          <w:lang w:val="en-US" w:eastAsia="zh-CN" w:bidi="ar-SA"/>
        </w:rPr>
        <w:t>材料核实法</w:t>
      </w:r>
      <w:r>
        <w:rPr>
          <w:rFonts w:ascii="仿宋_GB2312" w:hAnsi="Times New Roman" w:eastAsia="仿宋_GB2312" w:cs="Times New Roman"/>
          <w:szCs w:val="24"/>
          <w:lang w:val="en-US" w:eastAsia="zh-CN" w:bidi="ar-SA"/>
        </w:rPr>
        <w:t>对项目进行评价。</w:t>
      </w:r>
    </w:p>
    <w:p>
      <w:pPr>
        <w:pStyle w:val="11"/>
        <w:spacing w:line="520" w:lineRule="exact"/>
        <w:ind w:firstLine="640"/>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通过和财政局沟通协调，查账了解项目资金实际开支情况，包括是否专款专用、是否按标准支出</w:t>
      </w:r>
      <w:r>
        <w:rPr>
          <w:rFonts w:ascii="仿宋_GB2312" w:hAnsi="Times New Roman" w:eastAsia="仿宋_GB2312" w:cs="Times New Roman"/>
          <w:szCs w:val="24"/>
          <w:lang w:val="en-US" w:eastAsia="zh-CN" w:bidi="ar-SA"/>
        </w:rPr>
        <w:t>可以达到预期的</w:t>
      </w:r>
      <w:r>
        <w:rPr>
          <w:rFonts w:hint="eastAsia" w:ascii="仿宋_GB2312" w:hAnsi="Times New Roman" w:eastAsia="仿宋_GB2312" w:cs="Times New Roman"/>
          <w:szCs w:val="24"/>
          <w:lang w:val="en-US" w:eastAsia="zh-CN" w:bidi="ar-SA"/>
        </w:rPr>
        <w:t>效益</w:t>
      </w:r>
      <w:r>
        <w:rPr>
          <w:rFonts w:ascii="仿宋_GB2312" w:hAnsi="Times New Roman" w:eastAsia="仿宋_GB2312" w:cs="Times New Roman"/>
          <w:szCs w:val="24"/>
          <w:lang w:val="en-US" w:eastAsia="zh-CN" w:bidi="ar-SA"/>
        </w:rPr>
        <w:t>目标，项目的实施能够产生</w:t>
      </w:r>
      <w:r>
        <w:rPr>
          <w:rFonts w:hint="eastAsia" w:ascii="仿宋_GB2312" w:hAnsi="Times New Roman" w:eastAsia="仿宋_GB2312" w:cs="Times New Roman"/>
          <w:szCs w:val="24"/>
          <w:lang w:val="en-US" w:eastAsia="zh-CN" w:bidi="ar-SA"/>
        </w:rPr>
        <w:t>可持续影响</w:t>
      </w:r>
      <w:r>
        <w:rPr>
          <w:rFonts w:ascii="仿宋_GB2312" w:hAnsi="Times New Roman" w:eastAsia="仿宋_GB2312" w:cs="Times New Roman"/>
          <w:szCs w:val="24"/>
          <w:lang w:val="en-US" w:eastAsia="zh-CN" w:bidi="ar-SA"/>
        </w:rPr>
        <w:t>效益。</w:t>
      </w:r>
      <w:r>
        <w:rPr>
          <w:rFonts w:hint="eastAsia" w:ascii="仿宋_GB2312" w:hAnsi="Times New Roman" w:eastAsia="仿宋_GB2312" w:cs="Times New Roman"/>
          <w:szCs w:val="24"/>
          <w:lang w:val="en-US" w:eastAsia="zh-CN" w:bidi="ar-SA"/>
        </w:rPr>
        <w:t>此项经费达到了预期的指标。</w:t>
      </w:r>
    </w:p>
    <w:p>
      <w:pPr>
        <w:numPr>
          <w:ilvl w:val="0"/>
          <w:numId w:val="4"/>
        </w:numPr>
        <w:spacing w:line="500" w:lineRule="exact"/>
        <w:ind w:left="420"/>
        <w:rPr>
          <w:rFonts w:hint="eastAsia" w:ascii="仿宋_GB2312" w:hAnsi="Times New Roman" w:eastAsia="仿宋_GB2312"/>
          <w:sz w:val="30"/>
          <w:szCs w:val="24"/>
        </w:rPr>
      </w:pPr>
      <w:r>
        <w:rPr>
          <w:rFonts w:hint="eastAsia" w:ascii="Times New Roman" w:hAnsi="Times New Roman" w:eastAsia="仿宋_GB2312"/>
          <w:bCs/>
          <w:sz w:val="28"/>
          <w:szCs w:val="28"/>
        </w:rPr>
        <w:t>绩效</w:t>
      </w:r>
      <w:r>
        <w:rPr>
          <w:rFonts w:hint="eastAsia" w:ascii="仿宋_GB2312" w:hAnsi="Times New Roman" w:eastAsia="仿宋_GB2312"/>
          <w:sz w:val="30"/>
          <w:szCs w:val="24"/>
        </w:rPr>
        <w:t>评价标准</w:t>
      </w:r>
    </w:p>
    <w:p>
      <w:pPr>
        <w:spacing w:line="500" w:lineRule="exact"/>
        <w:ind w:firstLine="600" w:firstLineChars="200"/>
        <w:rPr>
          <w:rFonts w:hint="eastAsia" w:ascii="仿宋_GB2312" w:hAnsi="Times New Roman" w:eastAsia="仿宋_GB2312"/>
          <w:sz w:val="30"/>
          <w:szCs w:val="24"/>
        </w:rPr>
      </w:pPr>
      <w:r>
        <w:rPr>
          <w:rFonts w:hint="eastAsia" w:ascii="仿宋_GB2312" w:hAnsi="Times New Roman" w:eastAsia="仿宋_GB2312"/>
          <w:sz w:val="30"/>
          <w:szCs w:val="24"/>
        </w:rPr>
        <w:t>绩效评价标准通常包括计划标准、行业标准、历史标准等，用于对绩效指标完成情况进行比较。</w:t>
      </w:r>
    </w:p>
    <w:p>
      <w:pPr>
        <w:spacing w:line="500" w:lineRule="exact"/>
        <w:ind w:firstLine="450" w:firstLineChars="150"/>
        <w:rPr>
          <w:rFonts w:hint="eastAsia" w:ascii="仿宋_GB2312" w:hAnsi="Times New Roman" w:eastAsia="仿宋_GB2312"/>
          <w:sz w:val="30"/>
          <w:szCs w:val="24"/>
        </w:rPr>
      </w:pPr>
      <w:r>
        <w:rPr>
          <w:rFonts w:hint="eastAsia" w:ascii="仿宋_GB2312" w:hAnsi="Times New Roman" w:eastAsia="仿宋_GB2312"/>
          <w:sz w:val="30"/>
          <w:szCs w:val="24"/>
        </w:rPr>
        <w:t>（一）计划标准。指以预先制定的目标、计划、预算、定额等作为评价标准。</w:t>
      </w:r>
    </w:p>
    <w:p>
      <w:pPr>
        <w:spacing w:line="500" w:lineRule="exact"/>
        <w:ind w:firstLine="450" w:firstLineChars="150"/>
        <w:rPr>
          <w:rFonts w:hint="eastAsia" w:ascii="仿宋_GB2312" w:hAnsi="Times New Roman" w:eastAsia="仿宋_GB2312"/>
          <w:sz w:val="30"/>
          <w:szCs w:val="24"/>
        </w:rPr>
      </w:pPr>
      <w:r>
        <w:rPr>
          <w:rFonts w:hint="eastAsia" w:ascii="仿宋_GB2312" w:hAnsi="Times New Roman" w:eastAsia="仿宋_GB2312"/>
          <w:sz w:val="30"/>
          <w:szCs w:val="24"/>
        </w:rPr>
        <w:t>（二）行业标准。指参照国家公布的行业指标数据制定的评价标准。</w:t>
      </w:r>
    </w:p>
    <w:p>
      <w:pPr>
        <w:spacing w:line="500" w:lineRule="exact"/>
        <w:ind w:firstLine="450" w:firstLineChars="150"/>
        <w:rPr>
          <w:rFonts w:hint="eastAsia" w:ascii="仿宋_GB2312" w:hAnsi="Times New Roman" w:eastAsia="仿宋_GB2312"/>
          <w:sz w:val="30"/>
          <w:szCs w:val="24"/>
        </w:rPr>
      </w:pPr>
      <w:r>
        <w:rPr>
          <w:rFonts w:hint="eastAsia" w:ascii="仿宋_GB2312" w:hAnsi="Times New Roman" w:eastAsia="仿宋_GB2312"/>
          <w:sz w:val="30"/>
          <w:szCs w:val="24"/>
        </w:rPr>
        <w:t>（三）历史标准。指参照历史数据制定的评价标准，为体现绩效改进的原则，在可实现的条件下应当确定相对较高的评价标准。</w:t>
      </w:r>
    </w:p>
    <w:p>
      <w:pPr>
        <w:spacing w:line="500" w:lineRule="exact"/>
        <w:ind w:firstLine="450" w:firstLineChars="150"/>
        <w:rPr>
          <w:rFonts w:hint="eastAsia" w:ascii="仿宋_GB2312" w:hAnsi="Times New Roman" w:eastAsia="仿宋_GB2312"/>
          <w:sz w:val="30"/>
          <w:szCs w:val="24"/>
        </w:rPr>
      </w:pPr>
      <w:r>
        <w:rPr>
          <w:rFonts w:hint="eastAsia" w:ascii="仿宋_GB2312" w:hAnsi="Times New Roman" w:eastAsia="仿宋_GB2312"/>
          <w:sz w:val="30"/>
          <w:szCs w:val="24"/>
        </w:rPr>
        <w:t>（四）财政部门和预算部门确认或认可的其他标准。</w:t>
      </w:r>
    </w:p>
    <w:p>
      <w:pPr>
        <w:spacing w:line="500" w:lineRule="exact"/>
        <w:ind w:firstLine="600" w:firstLineChars="20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lang w:eastAsia="zh-CN"/>
        </w:rPr>
        <w:t>专项经费</w:t>
      </w:r>
      <w:r>
        <w:rPr>
          <w:rFonts w:hint="eastAsia" w:ascii="仿宋_GB2312" w:hAnsi="Times New Roman" w:eastAsia="仿宋_GB2312"/>
          <w:sz w:val="30"/>
          <w:szCs w:val="24"/>
          <w:highlight w:val="none"/>
        </w:rPr>
        <w:t>属于延续性项目，有相应的行业标准和历史标准，故采用按照历史标准评价该项目。</w:t>
      </w:r>
    </w:p>
    <w:p>
      <w:pPr>
        <w:spacing w:line="600" w:lineRule="exact"/>
        <w:ind w:firstLine="600" w:firstLineChars="200"/>
        <w:rPr>
          <w:rFonts w:ascii="仿宋_GB2312" w:hAnsi="Times New Roman" w:eastAsia="仿宋_GB2312"/>
          <w:sz w:val="30"/>
          <w:szCs w:val="24"/>
        </w:rPr>
      </w:pPr>
      <w:r>
        <w:rPr>
          <w:rFonts w:hint="eastAsia" w:ascii="仿宋_GB2312" w:hAnsi="Times New Roman" w:eastAsia="仿宋_GB2312"/>
          <w:sz w:val="30"/>
          <w:szCs w:val="24"/>
        </w:rPr>
        <w:t>（三）绩效评价工作过程。</w:t>
      </w:r>
    </w:p>
    <w:p>
      <w:pPr>
        <w:spacing w:line="600" w:lineRule="exact"/>
        <w:ind w:firstLine="600" w:firstLineChars="200"/>
        <w:rPr>
          <w:rFonts w:hint="eastAsia" w:ascii="仿宋_GB2312" w:hAnsi="Times New Roman" w:eastAsia="仿宋_GB2312"/>
          <w:sz w:val="30"/>
          <w:szCs w:val="24"/>
        </w:rPr>
      </w:pPr>
      <w:bookmarkStart w:id="10" w:name="bookmark78"/>
      <w:r>
        <w:rPr>
          <w:rFonts w:hint="eastAsia" w:ascii="仿宋_GB2312" w:hAnsi="Times New Roman" w:eastAsia="仿宋_GB2312"/>
          <w:sz w:val="30"/>
          <w:szCs w:val="24"/>
        </w:rPr>
        <w:t>1</w:t>
      </w:r>
      <w:bookmarkEnd w:id="10"/>
      <w:r>
        <w:rPr>
          <w:rFonts w:hint="eastAsia" w:ascii="仿宋_GB2312" w:hAnsi="Times New Roman" w:eastAsia="仿宋_GB2312"/>
          <w:sz w:val="30"/>
          <w:szCs w:val="24"/>
        </w:rPr>
        <w:t>、前期准备</w:t>
      </w:r>
    </w:p>
    <w:p>
      <w:pPr>
        <w:spacing w:line="600" w:lineRule="exact"/>
        <w:ind w:firstLine="600" w:firstLineChars="200"/>
        <w:rPr>
          <w:rFonts w:hint="eastAsia" w:ascii="仿宋_GB2312" w:hAnsi="Times New Roman" w:eastAsia="仿宋_GB2312"/>
          <w:sz w:val="30"/>
          <w:szCs w:val="24"/>
        </w:rPr>
      </w:pPr>
      <w:r>
        <w:rPr>
          <w:rFonts w:hint="eastAsia" w:ascii="仿宋_GB2312" w:hAnsi="Times New Roman" w:eastAsia="仿宋_GB2312"/>
          <w:sz w:val="30"/>
          <w:szCs w:val="24"/>
        </w:rPr>
        <w:t>201</w:t>
      </w:r>
      <w:r>
        <w:rPr>
          <w:rFonts w:hint="eastAsia" w:ascii="仿宋_GB2312" w:hAnsi="Times New Roman" w:eastAsia="仿宋_GB2312"/>
          <w:sz w:val="30"/>
          <w:szCs w:val="24"/>
          <w:lang w:val="en-US" w:eastAsia="zh-CN"/>
        </w:rPr>
        <w:t>8</w:t>
      </w:r>
      <w:r>
        <w:rPr>
          <w:rFonts w:hint="eastAsia" w:ascii="仿宋_GB2312" w:hAnsi="Times New Roman" w:eastAsia="仿宋_GB2312"/>
          <w:sz w:val="30"/>
          <w:szCs w:val="24"/>
        </w:rPr>
        <w:t>年11月29</w:t>
      </w:r>
      <w:r>
        <w:rPr>
          <w:rFonts w:hint="eastAsia" w:ascii="仿宋_GB2312" w:hAnsi="Times New Roman" w:eastAsia="仿宋_GB2312"/>
          <w:sz w:val="30"/>
          <w:szCs w:val="24"/>
          <w:lang w:eastAsia="zh-CN"/>
        </w:rPr>
        <w:t>日</w:t>
      </w:r>
      <w:r>
        <w:rPr>
          <w:rFonts w:hint="eastAsia" w:ascii="仿宋_GB2312" w:hAnsi="Times New Roman" w:eastAsia="仿宋_GB2312"/>
          <w:sz w:val="30"/>
          <w:szCs w:val="24"/>
        </w:rPr>
        <w:t>,开始前期准备工作，评价组通过对评价对象前期调研，确定了评价的目的、方法以及评价的原则，根据项目的内容和特征制定了评价指标体系及评价标准以及评价实施方案，修正并确定所需资料清单，最终确定实施方案。</w:t>
      </w:r>
    </w:p>
    <w:p>
      <w:pPr>
        <w:spacing w:line="600" w:lineRule="exact"/>
        <w:ind w:firstLine="600" w:firstLineChars="200"/>
        <w:rPr>
          <w:rFonts w:hint="eastAsia" w:ascii="仿宋_GB2312" w:hAnsi="Times New Roman" w:eastAsia="仿宋_GB2312"/>
          <w:sz w:val="30"/>
          <w:szCs w:val="24"/>
        </w:rPr>
      </w:pPr>
      <w:bookmarkStart w:id="11" w:name="bookmark79"/>
      <w:r>
        <w:rPr>
          <w:rFonts w:hint="eastAsia" w:ascii="仿宋_GB2312" w:hAnsi="Times New Roman" w:eastAsia="仿宋_GB2312"/>
          <w:sz w:val="30"/>
          <w:szCs w:val="24"/>
        </w:rPr>
        <w:t>2</w:t>
      </w:r>
      <w:bookmarkEnd w:id="11"/>
      <w:r>
        <w:rPr>
          <w:rFonts w:hint="eastAsia" w:ascii="仿宋_GB2312" w:hAnsi="Times New Roman" w:eastAsia="仿宋_GB2312"/>
          <w:sz w:val="30"/>
          <w:szCs w:val="24"/>
        </w:rPr>
        <w:t>、组织实施</w:t>
      </w:r>
    </w:p>
    <w:p>
      <w:pPr>
        <w:spacing w:line="600" w:lineRule="exact"/>
        <w:ind w:firstLine="600" w:firstLineChars="200"/>
        <w:rPr>
          <w:rFonts w:hint="eastAsia" w:ascii="仿宋_GB2312" w:hAnsi="Times New Roman" w:eastAsia="仿宋_GB2312"/>
          <w:sz w:val="30"/>
          <w:szCs w:val="24"/>
        </w:rPr>
      </w:pPr>
      <w:r>
        <w:rPr>
          <w:rFonts w:hint="eastAsia" w:ascii="仿宋_GB2312" w:hAnsi="Times New Roman" w:eastAsia="仿宋_GB2312"/>
          <w:sz w:val="30"/>
          <w:szCs w:val="24"/>
          <w:lang w:val="zh-CN"/>
        </w:rPr>
        <w:t>201</w:t>
      </w:r>
      <w:r>
        <w:rPr>
          <w:rFonts w:hint="eastAsia" w:ascii="仿宋_GB2312" w:hAnsi="Times New Roman" w:eastAsia="仿宋_GB2312"/>
          <w:sz w:val="30"/>
          <w:szCs w:val="24"/>
          <w:lang w:val="en-US" w:eastAsia="zh-CN"/>
        </w:rPr>
        <w:t>8</w:t>
      </w:r>
      <w:r>
        <w:rPr>
          <w:rFonts w:hint="eastAsia" w:ascii="仿宋_GB2312" w:hAnsi="Times New Roman" w:eastAsia="仿宋_GB2312"/>
          <w:sz w:val="30"/>
          <w:szCs w:val="24"/>
        </w:rPr>
        <w:t>年</w:t>
      </w:r>
      <w:r>
        <w:rPr>
          <w:rFonts w:hint="eastAsia" w:ascii="仿宋_GB2312" w:hAnsi="Times New Roman" w:eastAsia="仿宋_GB2312"/>
          <w:sz w:val="30"/>
          <w:szCs w:val="24"/>
          <w:lang w:val="zh-CN"/>
        </w:rPr>
        <w:t>11</w:t>
      </w:r>
      <w:r>
        <w:rPr>
          <w:rFonts w:hint="eastAsia" w:ascii="仿宋_GB2312" w:hAnsi="Times New Roman" w:eastAsia="仿宋_GB2312"/>
          <w:sz w:val="30"/>
          <w:szCs w:val="24"/>
        </w:rPr>
        <w:t>月</w:t>
      </w:r>
      <w:r>
        <w:rPr>
          <w:rFonts w:hint="eastAsia" w:ascii="仿宋_GB2312" w:hAnsi="Times New Roman" w:eastAsia="仿宋_GB2312"/>
          <w:sz w:val="30"/>
          <w:szCs w:val="24"/>
          <w:lang w:val="zh-CN"/>
        </w:rPr>
        <w:t>29</w:t>
      </w:r>
      <w:r>
        <w:rPr>
          <w:rFonts w:hint="eastAsia" w:ascii="仿宋_GB2312" w:hAnsi="Times New Roman" w:eastAsia="仿宋_GB2312"/>
          <w:sz w:val="30"/>
          <w:szCs w:val="24"/>
        </w:rPr>
        <w:t>日-</w:t>
      </w:r>
      <w:r>
        <w:rPr>
          <w:rFonts w:hint="eastAsia" w:ascii="仿宋_GB2312" w:hAnsi="Times New Roman" w:eastAsia="仿宋_GB2312"/>
          <w:sz w:val="30"/>
          <w:szCs w:val="24"/>
          <w:lang w:val="zh-CN"/>
        </w:rPr>
        <w:t>12</w:t>
      </w:r>
      <w:r>
        <w:rPr>
          <w:rFonts w:hint="eastAsia" w:ascii="仿宋_GB2312" w:hAnsi="Times New Roman" w:eastAsia="仿宋_GB2312"/>
          <w:sz w:val="30"/>
          <w:szCs w:val="24"/>
        </w:rPr>
        <w:t>月</w:t>
      </w:r>
      <w:r>
        <w:rPr>
          <w:rFonts w:hint="eastAsia" w:ascii="仿宋_GB2312" w:hAnsi="Times New Roman" w:eastAsia="仿宋_GB2312"/>
          <w:sz w:val="30"/>
          <w:szCs w:val="24"/>
          <w:lang w:val="zh-CN"/>
        </w:rPr>
        <w:t>4</w:t>
      </w:r>
      <w:r>
        <w:rPr>
          <w:rFonts w:hint="eastAsia" w:ascii="仿宋_GB2312" w:hAnsi="Times New Roman" w:eastAsia="仿宋_GB2312"/>
          <w:sz w:val="30"/>
          <w:szCs w:val="24"/>
        </w:rPr>
        <w:t>日，评价工作进入实施阶段。 在数据采集方面，评价组整理单位前期提交的资料，与项目实施负责人沟通，了解资金的内容、操作流程、管理机制、资金使用方向等情况；进行信息采集，了解项目设置背景及资金使用等情况</w:t>
      </w:r>
      <w:bookmarkStart w:id="12" w:name="bookmark80"/>
      <w:r>
        <w:rPr>
          <w:rFonts w:hint="eastAsia" w:ascii="仿宋_GB2312" w:hAnsi="Times New Roman" w:eastAsia="仿宋_GB2312"/>
          <w:sz w:val="30"/>
          <w:szCs w:val="24"/>
        </w:rPr>
        <w:t xml:space="preserve">。   </w:t>
      </w:r>
      <w:bookmarkEnd w:id="12"/>
      <w:r>
        <w:rPr>
          <w:rFonts w:hint="eastAsia" w:ascii="仿宋_GB2312" w:hAnsi="Times New Roman" w:eastAsia="仿宋_GB2312"/>
          <w:sz w:val="30"/>
          <w:szCs w:val="24"/>
        </w:rPr>
        <w:t xml:space="preserve">                           </w:t>
      </w:r>
    </w:p>
    <w:p>
      <w:pPr>
        <w:spacing w:line="600" w:lineRule="exact"/>
        <w:ind w:firstLine="600" w:firstLineChars="200"/>
        <w:rPr>
          <w:rFonts w:hint="eastAsia" w:ascii="仿宋_GB2312" w:hAnsi="Times New Roman" w:eastAsia="仿宋_GB2312"/>
          <w:sz w:val="30"/>
          <w:szCs w:val="24"/>
        </w:rPr>
      </w:pPr>
      <w:r>
        <w:rPr>
          <w:rFonts w:hint="eastAsia" w:ascii="仿宋_GB2312" w:hAnsi="Times New Roman" w:eastAsia="仿宋_GB2312"/>
          <w:sz w:val="30"/>
          <w:szCs w:val="24"/>
        </w:rPr>
        <w:t>3、分析评价</w:t>
      </w:r>
    </w:p>
    <w:p>
      <w:pPr>
        <w:spacing w:line="600" w:lineRule="exact"/>
        <w:ind w:firstLine="600" w:firstLineChars="200"/>
        <w:rPr>
          <w:rFonts w:hint="eastAsia" w:ascii="仿宋_GB2312" w:hAnsi="Times New Roman" w:eastAsia="仿宋_GB2312"/>
          <w:sz w:val="30"/>
          <w:szCs w:val="24"/>
        </w:rPr>
      </w:pPr>
      <w:r>
        <w:rPr>
          <w:rFonts w:hint="eastAsia" w:ascii="仿宋_GB2312" w:hAnsi="Times New Roman" w:eastAsia="仿宋_GB2312"/>
          <w:sz w:val="30"/>
          <w:szCs w:val="24"/>
        </w:rPr>
        <w:t>2020年1月6</w:t>
      </w:r>
      <w:r>
        <w:rPr>
          <w:rFonts w:hint="eastAsia" w:ascii="仿宋_GB2312" w:hAnsi="Times New Roman" w:eastAsia="仿宋_GB2312"/>
          <w:sz w:val="30"/>
          <w:szCs w:val="24"/>
          <w:lang w:eastAsia="zh-CN"/>
        </w:rPr>
        <w:t>日</w:t>
      </w:r>
      <w:r>
        <w:rPr>
          <w:rFonts w:hint="eastAsia" w:ascii="仿宋_GB2312" w:hAnsi="Times New Roman" w:eastAsia="仿宋_GB2312"/>
          <w:sz w:val="30"/>
          <w:szCs w:val="24"/>
        </w:rPr>
        <w:t>-1月20日，评价组按照绩效评价的原则和规范，对取得的资料进行审查核实，对采集的数据进行分析，按照绩效评价指标评分表逐项进行打分、分析，汇总各方评价结果，综合分析并形成评价结论。</w:t>
      </w:r>
    </w:p>
    <w:p>
      <w:pPr>
        <w:spacing w:line="600" w:lineRule="exact"/>
        <w:ind w:firstLine="600" w:firstLineChars="200"/>
        <w:rPr>
          <w:rFonts w:ascii="仿宋_GB2312" w:hAnsi="Times New Roman" w:eastAsia="仿宋_GB2312"/>
          <w:sz w:val="30"/>
          <w:szCs w:val="24"/>
        </w:rPr>
      </w:pPr>
      <w:r>
        <w:rPr>
          <w:rFonts w:hint="eastAsia" w:ascii="黑体" w:hAnsi="黑体" w:eastAsia="黑体"/>
          <w:sz w:val="30"/>
          <w:szCs w:val="24"/>
        </w:rPr>
        <w:t>三、综合评价情况及评价结论</w:t>
      </w:r>
    </w:p>
    <w:p>
      <w:pPr>
        <w:pStyle w:val="11"/>
        <w:spacing w:line="600" w:lineRule="exact"/>
        <w:rPr>
          <w:rFonts w:hint="eastAsia" w:ascii="仿宋_GB2312" w:hAnsi="Times New Roman" w:eastAsia="仿宋_GB2312" w:cs="Times New Roman"/>
          <w:b/>
          <w:szCs w:val="24"/>
          <w:lang w:val="en-US" w:eastAsia="zh-CN" w:bidi="ar-SA"/>
        </w:rPr>
      </w:pPr>
      <w:r>
        <w:rPr>
          <w:rFonts w:hint="eastAsia" w:ascii="仿宋_GB2312" w:hAnsi="Times New Roman" w:eastAsia="仿宋_GB2312" w:cs="Times New Roman"/>
          <w:b/>
          <w:szCs w:val="24"/>
          <w:lang w:val="en-US" w:eastAsia="zh-CN" w:bidi="ar-SA"/>
        </w:rPr>
        <w:t>（一）综合评价情况</w:t>
      </w:r>
    </w:p>
    <w:p>
      <w:pPr>
        <w:pStyle w:val="11"/>
        <w:spacing w:line="600" w:lineRule="exact"/>
        <w:ind w:firstLine="600" w:firstLineChars="200"/>
        <w:rPr>
          <w:rFonts w:hint="eastAsia" w:ascii="仿宋_GB2312" w:hAnsi="Times New Roman" w:eastAsia="仿宋_GB2312" w:cs="Times New Roman"/>
          <w:b/>
          <w:szCs w:val="24"/>
          <w:lang w:val="zh-CN" w:eastAsia="zh-CN" w:bidi="ar-SA"/>
        </w:rPr>
      </w:pPr>
      <w:r>
        <w:rPr>
          <w:rFonts w:hint="eastAsia" w:ascii="仿宋_GB2312" w:hAnsi="Times New Roman" w:eastAsia="仿宋_GB2312" w:cs="Times New Roman"/>
          <w:szCs w:val="24"/>
          <w:lang w:val="en-US" w:eastAsia="zh-CN" w:bidi="ar-SA"/>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专项经费综合得分为95分。</w:t>
      </w:r>
    </w:p>
    <w:p>
      <w:pPr>
        <w:pStyle w:val="11"/>
        <w:spacing w:line="600" w:lineRule="exact"/>
        <w:ind w:firstLine="548" w:firstLineChars="182"/>
        <w:rPr>
          <w:rFonts w:hint="eastAsia" w:ascii="仿宋_GB2312" w:hAnsi="Times New Roman" w:eastAsia="仿宋_GB2312" w:cs="Times New Roman"/>
          <w:b/>
          <w:szCs w:val="24"/>
          <w:lang w:val="en-US" w:eastAsia="zh-CN" w:bidi="ar-SA"/>
        </w:rPr>
      </w:pPr>
      <w:r>
        <w:rPr>
          <w:rFonts w:hint="eastAsia" w:ascii="仿宋_GB2312" w:hAnsi="Times New Roman" w:eastAsia="仿宋_GB2312" w:cs="Times New Roman"/>
          <w:b/>
          <w:szCs w:val="24"/>
          <w:lang w:val="zh-CN" w:eastAsia="zh-CN" w:bidi="ar-SA"/>
        </w:rPr>
        <w:t>201</w:t>
      </w:r>
      <w:r>
        <w:rPr>
          <w:rFonts w:hint="eastAsia" w:ascii="仿宋_GB2312" w:hAnsi="Times New Roman" w:eastAsia="仿宋_GB2312" w:cs="Times New Roman"/>
          <w:b/>
          <w:szCs w:val="24"/>
          <w:lang w:val="en-US" w:eastAsia="zh-CN" w:bidi="ar-SA"/>
        </w:rPr>
        <w:t>9年乌尔禾区专项经费资金评价得分情况</w:t>
      </w:r>
    </w:p>
    <w:tbl>
      <w:tblPr>
        <w:tblStyle w:val="5"/>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备注</w:t>
            </w:r>
          </w:p>
        </w:tc>
      </w:tr>
      <w:tr>
        <w:tblPrEx>
          <w:tblCellMar>
            <w:top w:w="0" w:type="dxa"/>
            <w:left w:w="10" w:type="dxa"/>
            <w:bottom w:w="0" w:type="dxa"/>
            <w:right w:w="10" w:type="dxa"/>
          </w:tblCellMar>
        </w:tblPrEx>
        <w:trPr>
          <w:trHeight w:val="1385" w:hRule="exact"/>
          <w:jc w:val="center"/>
        </w:trPr>
        <w:tc>
          <w:tcPr>
            <w:tcW w:w="1447"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23</w:t>
            </w:r>
          </w:p>
        </w:tc>
        <w:tc>
          <w:tcPr>
            <w:tcW w:w="1951"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20</w:t>
            </w:r>
          </w:p>
        </w:tc>
        <w:tc>
          <w:tcPr>
            <w:tcW w:w="3866" w:type="dxa"/>
            <w:tcBorders>
              <w:top w:val="single" w:color="auto" w:sz="4" w:space="0"/>
              <w:left w:val="single" w:color="auto" w:sz="4" w:space="0"/>
              <w:right w:val="single" w:color="auto" w:sz="4" w:space="0"/>
            </w:tcBorders>
            <w:shd w:val="clear" w:color="auto" w:fill="FFFFFF"/>
            <w:vAlign w:val="top"/>
          </w:tcPr>
          <w:p>
            <w:pPr>
              <w:pStyle w:val="8"/>
              <w:spacing w:line="310" w:lineRule="exact"/>
              <w:ind w:firstLine="0"/>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①项目依据单一，扣除3分；</w:t>
            </w:r>
          </w:p>
        </w:tc>
      </w:tr>
      <w:tr>
        <w:tblPrEx>
          <w:tblCellMar>
            <w:top w:w="0" w:type="dxa"/>
            <w:left w:w="10" w:type="dxa"/>
            <w:bottom w:w="0" w:type="dxa"/>
            <w:right w:w="10" w:type="dxa"/>
          </w:tblCellMar>
        </w:tblPrEx>
        <w:trPr>
          <w:trHeight w:val="1007" w:hRule="exact"/>
          <w:jc w:val="center"/>
        </w:trPr>
        <w:tc>
          <w:tcPr>
            <w:tcW w:w="1447" w:type="dxa"/>
            <w:tcBorders>
              <w:top w:val="single" w:color="auto" w:sz="4" w:space="0"/>
              <w:left w:val="single" w:color="auto" w:sz="4" w:space="0"/>
            </w:tcBorders>
            <w:shd w:val="clear" w:color="auto" w:fill="FFFFFF"/>
            <w:vAlign w:val="center"/>
          </w:tcPr>
          <w:p>
            <w:pPr>
              <w:pStyle w:val="8"/>
              <w:spacing w:line="240" w:lineRule="auto"/>
              <w:ind w:firstLine="380"/>
              <w:jc w:val="left"/>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17</w:t>
            </w:r>
          </w:p>
        </w:tc>
        <w:tc>
          <w:tcPr>
            <w:tcW w:w="1951"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15</w:t>
            </w:r>
          </w:p>
        </w:tc>
        <w:tc>
          <w:tcPr>
            <w:tcW w:w="3866" w:type="dxa"/>
            <w:tcBorders>
              <w:top w:val="single" w:color="auto" w:sz="4" w:space="0"/>
              <w:left w:val="single" w:color="auto" w:sz="4" w:space="0"/>
              <w:right w:val="single" w:color="auto" w:sz="4" w:space="0"/>
            </w:tcBorders>
            <w:shd w:val="clear" w:color="auto" w:fill="FFFFFF"/>
            <w:vAlign w:val="bottom"/>
          </w:tcPr>
          <w:p>
            <w:pPr>
              <w:pStyle w:val="8"/>
              <w:spacing w:line="310" w:lineRule="exact"/>
              <w:ind w:firstLine="0"/>
              <w:jc w:val="left"/>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年初绩效指标设定不具体，扣除2份</w:t>
            </w: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30</w:t>
            </w:r>
          </w:p>
        </w:tc>
        <w:tc>
          <w:tcPr>
            <w:tcW w:w="1951" w:type="dxa"/>
            <w:tcBorders>
              <w:top w:val="single" w:color="auto" w:sz="4" w:space="0"/>
              <w:left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30</w:t>
            </w:r>
          </w:p>
        </w:tc>
        <w:tc>
          <w:tcPr>
            <w:tcW w:w="3866" w:type="dxa"/>
            <w:tcBorders>
              <w:top w:val="single" w:color="auto" w:sz="4" w:space="0"/>
              <w:left w:val="single" w:color="auto" w:sz="4" w:space="0"/>
              <w:right w:val="single" w:color="auto" w:sz="4" w:space="0"/>
            </w:tcBorders>
            <w:shd w:val="clear" w:color="auto" w:fill="FFFFFF"/>
            <w:vAlign w:val="center"/>
          </w:tcPr>
          <w:p>
            <w:pPr>
              <w:pStyle w:val="8"/>
              <w:spacing w:line="240" w:lineRule="auto"/>
              <w:ind w:firstLine="0"/>
              <w:rPr>
                <w:rFonts w:hint="eastAsia" w:ascii="仿宋_GB2312" w:hAnsi="Times New Roman" w:eastAsia="仿宋_GB2312" w:cs="Times New Roman"/>
                <w:szCs w:val="24"/>
                <w:lang w:val="en-US" w:eastAsia="zh-CN" w:bidi="ar-SA"/>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rPr>
                <w:rFonts w:hint="eastAsia" w:ascii="仿宋_GB2312" w:hAnsi="Times New Roman" w:eastAsia="仿宋_GB2312"/>
                <w:sz w:val="30"/>
                <w:szCs w:val="24"/>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8"/>
              <w:spacing w:line="240" w:lineRule="auto"/>
              <w:ind w:firstLine="0"/>
              <w:jc w:val="center"/>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95</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rPr>
                <w:rFonts w:hint="eastAsia" w:ascii="仿宋_GB2312" w:hAnsi="Times New Roman" w:eastAsia="仿宋_GB2312"/>
                <w:sz w:val="30"/>
                <w:szCs w:val="24"/>
              </w:rPr>
            </w:pPr>
          </w:p>
        </w:tc>
      </w:tr>
    </w:tbl>
    <w:p>
      <w:pPr>
        <w:pStyle w:val="11"/>
        <w:spacing w:line="598" w:lineRule="exact"/>
        <w:ind w:firstLine="700"/>
        <w:rPr>
          <w:rFonts w:hint="eastAsia" w:ascii="仿宋_GB2312" w:hAnsi="Times New Roman" w:eastAsia="仿宋_GB2312" w:cs="Times New Roman"/>
          <w:b/>
          <w:szCs w:val="24"/>
          <w:lang w:val="en-US" w:eastAsia="zh-CN" w:bidi="ar-SA"/>
        </w:rPr>
      </w:pPr>
      <w:r>
        <w:rPr>
          <w:rFonts w:hint="eastAsia" w:ascii="仿宋_GB2312" w:hAnsi="Times New Roman" w:eastAsia="仿宋_GB2312" w:cs="Times New Roman"/>
          <w:b/>
          <w:szCs w:val="24"/>
          <w:lang w:val="en-US" w:eastAsia="zh-CN" w:bidi="ar-SA"/>
        </w:rPr>
        <w:t>(二)评价结论</w:t>
      </w:r>
    </w:p>
    <w:p>
      <w:pPr>
        <w:pStyle w:val="11"/>
        <w:spacing w:line="598" w:lineRule="exact"/>
        <w:ind w:firstLine="700"/>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乌尔禾区委政法委专项经费项目达到了年初设立的绩效目标，在实施过程中取得了良好的成效，具体表现在：</w:t>
      </w:r>
    </w:p>
    <w:p>
      <w:pPr>
        <w:pStyle w:val="11"/>
        <w:spacing w:line="600" w:lineRule="exact"/>
        <w:ind w:firstLine="600" w:firstLineChars="200"/>
        <w:rPr>
          <w:rFonts w:hint="default"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2019年12月。项目负责人对项目执行情况以及达到的效果进行调查，对采购的固定资产使用情况进行实地查看，均使用正常，我区的社会大局持续和谐稳定，辖区群众对政法工作的满意度持续提高。</w:t>
      </w:r>
    </w:p>
    <w:p>
      <w:pPr>
        <w:spacing w:line="600" w:lineRule="exact"/>
        <w:ind w:firstLine="600" w:firstLineChars="200"/>
        <w:rPr>
          <w:rFonts w:ascii="黑体" w:hAnsi="黑体" w:eastAsia="黑体"/>
          <w:sz w:val="30"/>
          <w:szCs w:val="24"/>
        </w:rPr>
      </w:pPr>
      <w:r>
        <w:rPr>
          <w:rFonts w:hint="eastAsia" w:ascii="黑体" w:hAnsi="黑体" w:eastAsia="黑体"/>
          <w:sz w:val="30"/>
          <w:szCs w:val="24"/>
        </w:rPr>
        <w:t>四、绩效评价指标分析</w:t>
      </w:r>
    </w:p>
    <w:p>
      <w:pPr>
        <w:spacing w:line="600" w:lineRule="exact"/>
        <w:ind w:firstLine="600" w:firstLineChars="200"/>
        <w:outlineLvl w:val="0"/>
        <w:rPr>
          <w:rFonts w:hint="eastAsia" w:ascii="仿宋_GB2312" w:hAnsi="Times New Roman" w:eastAsia="仿宋_GB2312"/>
          <w:sz w:val="30"/>
          <w:szCs w:val="24"/>
        </w:rPr>
      </w:pPr>
      <w:r>
        <w:rPr>
          <w:rFonts w:hint="eastAsia" w:ascii="仿宋_GB2312" w:hAnsi="Times New Roman" w:eastAsia="仿宋_GB2312"/>
          <w:sz w:val="30"/>
          <w:szCs w:val="24"/>
        </w:rPr>
        <w:t>（一）项目决策情况</w:t>
      </w:r>
    </w:p>
    <w:p>
      <w:pPr>
        <w:pStyle w:val="11"/>
        <w:tabs>
          <w:tab w:val="left" w:pos="1527"/>
        </w:tabs>
        <w:spacing w:line="418" w:lineRule="auto"/>
        <w:ind w:firstLine="600" w:firstLineChars="200"/>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项目立项符合政法委部门职责；项目申请、设立过程符合相关要求；项目所设定的绩效目标依据充分，符合客观实际；绩效指标清晰、细化、可衡量；项目预算编制经过科学论证、有明确标准，资金额度与年度目标相适应；项目预算资金分配有测算依据。</w:t>
      </w:r>
    </w:p>
    <w:p>
      <w:pPr>
        <w:pStyle w:val="11"/>
        <w:tabs>
          <w:tab w:val="left" w:pos="1527"/>
        </w:tabs>
        <w:spacing w:line="418" w:lineRule="auto"/>
        <w:ind w:firstLine="600" w:firstLineChars="200"/>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本次评价认为；该项目符合项目立项，项目绩效目标设置、资金投入等方面相关规定。</w:t>
      </w:r>
    </w:p>
    <w:p>
      <w:pPr>
        <w:spacing w:line="600" w:lineRule="exact"/>
        <w:ind w:left="600"/>
        <w:outlineLvl w:val="0"/>
        <w:rPr>
          <w:rFonts w:hint="eastAsia" w:ascii="仿宋_GB2312" w:hAnsi="Times New Roman" w:eastAsia="仿宋_GB2312"/>
          <w:sz w:val="30"/>
          <w:szCs w:val="24"/>
        </w:rPr>
      </w:pPr>
      <w:r>
        <w:rPr>
          <w:rFonts w:hint="eastAsia" w:ascii="仿宋_GB2312" w:hAnsi="Times New Roman" w:eastAsia="仿宋_GB2312"/>
          <w:sz w:val="30"/>
          <w:szCs w:val="24"/>
        </w:rPr>
        <w:t>（二）项目过程情况</w:t>
      </w:r>
    </w:p>
    <w:p>
      <w:pPr>
        <w:pStyle w:val="11"/>
        <w:tabs>
          <w:tab w:val="left" w:pos="1152"/>
        </w:tabs>
        <w:spacing w:line="418" w:lineRule="auto"/>
        <w:ind w:firstLine="680"/>
        <w:rPr>
          <w:rFonts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1、</w:t>
      </w:r>
      <w:r>
        <w:rPr>
          <w:rFonts w:ascii="仿宋_GB2312" w:hAnsi="Times New Roman" w:eastAsia="仿宋_GB2312" w:cs="Times New Roman"/>
          <w:szCs w:val="24"/>
          <w:lang w:val="en-US" w:eastAsia="zh-CN" w:bidi="ar-SA"/>
        </w:rPr>
        <w:t>项目组织情况分析</w:t>
      </w:r>
    </w:p>
    <w:p>
      <w:pPr>
        <w:spacing w:line="600" w:lineRule="exact"/>
        <w:ind w:firstLine="600" w:firstLineChars="200"/>
        <w:outlineLvl w:val="0"/>
        <w:rPr>
          <w:rFonts w:hint="eastAsia" w:ascii="仿宋_GB2312" w:hAnsi="Times New Roman" w:eastAsia="仿宋_GB2312"/>
          <w:sz w:val="30"/>
          <w:szCs w:val="24"/>
        </w:rPr>
      </w:pPr>
      <w:r>
        <w:rPr>
          <w:rFonts w:hint="eastAsia" w:ascii="仿宋_GB2312" w:hAnsi="Times New Roman" w:eastAsia="仿宋_GB2312"/>
          <w:sz w:val="30"/>
          <w:szCs w:val="24"/>
        </w:rPr>
        <w:t>该项目在实施阶段均制定了具体的组织实施文件（申报指南、评审办法、立项文件等），各个立项项目均经过项目申报、项目评审、项目立项、资金拨付、项目验收等流程。</w:t>
      </w:r>
      <w:r>
        <w:rPr>
          <w:rFonts w:hint="eastAsia" w:ascii="仿宋_GB2312" w:hAnsi="Times New Roman" w:eastAsia="仿宋_GB2312"/>
          <w:sz w:val="30"/>
          <w:szCs w:val="24"/>
          <w:lang w:eastAsia="zh-CN"/>
        </w:rPr>
        <w:t>项目立项经过部门主要领导、区委主要领导审核同意，执行过程中按照财政局要求，进行监控</w:t>
      </w:r>
      <w:r>
        <w:rPr>
          <w:rFonts w:hint="eastAsia" w:ascii="仿宋_GB2312" w:hAnsi="Times New Roman" w:eastAsia="仿宋_GB2312"/>
          <w:sz w:val="30"/>
          <w:szCs w:val="24"/>
        </w:rPr>
        <w:t>。</w:t>
      </w:r>
    </w:p>
    <w:p>
      <w:pPr>
        <w:spacing w:line="600" w:lineRule="exact"/>
        <w:ind w:firstLine="600" w:firstLineChars="200"/>
        <w:outlineLvl w:val="0"/>
        <w:rPr>
          <w:rFonts w:hint="eastAsia" w:ascii="仿宋_GB2312" w:hAnsi="Times New Roman" w:eastAsia="仿宋_GB2312"/>
          <w:sz w:val="30"/>
          <w:szCs w:val="24"/>
        </w:rPr>
      </w:pPr>
      <w:r>
        <w:rPr>
          <w:rFonts w:hint="eastAsia" w:ascii="仿宋_GB2312" w:hAnsi="Times New Roman" w:eastAsia="仿宋_GB2312"/>
          <w:sz w:val="30"/>
          <w:szCs w:val="24"/>
        </w:rPr>
        <w:t>本次评价认为：该项目组织机构设置合理，项目均按照流程执行，中期有检查，后期有验收。</w:t>
      </w:r>
    </w:p>
    <w:p>
      <w:pPr>
        <w:pStyle w:val="11"/>
        <w:spacing w:after="40" w:line="601" w:lineRule="exact"/>
        <w:ind w:firstLine="660"/>
        <w:rPr>
          <w:rFonts w:hint="eastAsia" w:ascii="仿宋_GB2312" w:hAnsi="Times New Roman" w:eastAsia="仿宋_GB2312" w:cs="Times New Roman"/>
          <w:szCs w:val="24"/>
          <w:lang w:val="en-US" w:eastAsia="zh-CN" w:bidi="ar-SA"/>
        </w:rPr>
      </w:pPr>
      <w:r>
        <w:rPr>
          <w:rFonts w:hint="eastAsia" w:ascii="仿宋_GB2312" w:hAnsi="Times New Roman" w:eastAsia="仿宋_GB2312" w:cs="Times New Roman"/>
          <w:szCs w:val="24"/>
          <w:lang w:val="en-US" w:eastAsia="zh-CN" w:bidi="ar-SA"/>
        </w:rPr>
        <w:t>2、</w:t>
      </w:r>
      <w:r>
        <w:rPr>
          <w:rFonts w:ascii="仿宋_GB2312" w:hAnsi="Times New Roman" w:eastAsia="仿宋_GB2312" w:cs="Times New Roman"/>
          <w:szCs w:val="24"/>
          <w:lang w:val="en-US" w:eastAsia="zh-CN" w:bidi="ar-SA"/>
        </w:rPr>
        <w:t>项目管理情况分析</w:t>
      </w:r>
    </w:p>
    <w:p>
      <w:pPr>
        <w:pStyle w:val="11"/>
        <w:spacing w:after="40" w:line="601" w:lineRule="exact"/>
        <w:ind w:firstLine="660"/>
        <w:rPr>
          <w:rFonts w:hint="eastAsia" w:ascii="仿宋_GB2312" w:hAnsi="Times New Roman" w:eastAsia="仿宋_GB2312" w:cs="Times New Roman"/>
          <w:szCs w:val="24"/>
          <w:lang w:val="en-US" w:eastAsia="zh-CN" w:bidi="ar-SA"/>
        </w:rPr>
      </w:pPr>
      <w:r>
        <w:rPr>
          <w:rFonts w:ascii="仿宋_GB2312" w:hAnsi="Times New Roman" w:eastAsia="仿宋_GB2312" w:cs="Times New Roman"/>
          <w:szCs w:val="24"/>
          <w:lang w:val="en-US" w:eastAsia="zh-CN" w:bidi="ar-SA"/>
        </w:rPr>
        <w:t>该项目制定了较为全面的管理制度，</w:t>
      </w:r>
      <w:r>
        <w:rPr>
          <w:rFonts w:hint="eastAsia" w:ascii="仿宋_GB2312" w:hAnsi="Times New Roman" w:eastAsia="仿宋_GB2312" w:cs="Times New Roman"/>
          <w:szCs w:val="24"/>
          <w:lang w:val="en-US" w:eastAsia="zh-CN" w:bidi="ar-SA"/>
        </w:rPr>
        <w:t>财政委托业务项目</w:t>
      </w:r>
      <w:r>
        <w:rPr>
          <w:rFonts w:ascii="仿宋_GB2312" w:hAnsi="Times New Roman" w:eastAsia="仿宋_GB2312" w:cs="Times New Roman"/>
          <w:szCs w:val="24"/>
          <w:lang w:val="en-US" w:eastAsia="zh-CN" w:bidi="ar-SA"/>
        </w:rPr>
        <w:t>主要管理制度为</w:t>
      </w: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乌尔禾区</w:t>
      </w:r>
      <w:r>
        <w:rPr>
          <w:rFonts w:ascii="仿宋_GB2312" w:hAnsi="Times New Roman" w:eastAsia="仿宋_GB2312" w:cs="Times New Roman"/>
          <w:szCs w:val="24"/>
          <w:highlight w:val="none"/>
          <w:lang w:val="en-US" w:eastAsia="zh-CN" w:bidi="ar-SA"/>
        </w:rPr>
        <w:t>项目管理办法》，制度文件规定了项目的组织与管理、立项与实施、跟踪与验收、监督与评价等内容；对实施项目资金的工作内容、奖励标准、控制环节作出了明确的规范要求，奖励标准的主要管理制度</w:t>
      </w:r>
      <w:r>
        <w:rPr>
          <w:rFonts w:hint="eastAsia" w:ascii="仿宋_GB2312" w:hAnsi="Times New Roman" w:eastAsia="仿宋_GB2312" w:cs="Times New Roman"/>
          <w:szCs w:val="24"/>
          <w:highlight w:val="none"/>
          <w:lang w:val="en-US" w:eastAsia="zh-CN" w:bidi="ar-SA"/>
        </w:rPr>
        <w:t>等</w:t>
      </w:r>
      <w:r>
        <w:rPr>
          <w:rFonts w:ascii="仿宋_GB2312" w:hAnsi="Times New Roman" w:eastAsia="仿宋_GB2312" w:cs="Times New Roman"/>
          <w:szCs w:val="24"/>
          <w:highlight w:val="none"/>
          <w:lang w:val="en-US" w:eastAsia="zh-CN" w:bidi="ar-SA"/>
        </w:rPr>
        <w:t>，</w:t>
      </w:r>
      <w:r>
        <w:rPr>
          <w:rFonts w:hint="eastAsia" w:ascii="仿宋_GB2312" w:hAnsi="Times New Roman" w:eastAsia="仿宋_GB2312" w:cs="Times New Roman"/>
          <w:szCs w:val="24"/>
          <w:highlight w:val="none"/>
          <w:lang w:val="en-US" w:eastAsia="zh-CN" w:bidi="ar-SA"/>
        </w:rPr>
        <w:t>《乌尔禾区全面实施预算绩效管理实施方案的通知》（《克乌党发〔2018〕32号》）</w:t>
      </w:r>
      <w:r>
        <w:rPr>
          <w:rFonts w:ascii="仿宋_GB2312" w:hAnsi="Times New Roman" w:eastAsia="仿宋_GB2312" w:cs="Times New Roman"/>
          <w:szCs w:val="24"/>
          <w:highlight w:val="none"/>
          <w:lang w:val="en-US" w:eastAsia="zh-CN" w:bidi="ar-SA"/>
        </w:rPr>
        <w:t>制</w:t>
      </w:r>
      <w:r>
        <w:rPr>
          <w:rFonts w:ascii="仿宋_GB2312" w:hAnsi="Times New Roman" w:eastAsia="仿宋_GB2312" w:cs="Times New Roman"/>
          <w:szCs w:val="24"/>
          <w:lang w:val="en-US" w:eastAsia="zh-CN" w:bidi="ar-SA"/>
        </w:rPr>
        <w:t>度文件规定了项目的监督与处罚等内容。</w:t>
      </w:r>
    </w:p>
    <w:p>
      <w:pPr>
        <w:pStyle w:val="11"/>
        <w:spacing w:after="40" w:line="601" w:lineRule="exact"/>
        <w:ind w:firstLine="660"/>
        <w:rPr>
          <w:rFonts w:hint="eastAsia" w:ascii="仿宋_GB2312" w:hAnsi="Times New Roman" w:eastAsia="仿宋_GB2312" w:cs="Times New Roman"/>
          <w:szCs w:val="24"/>
        </w:rPr>
      </w:pPr>
      <w:r>
        <w:rPr>
          <w:rFonts w:ascii="仿宋_GB2312" w:hAnsi="Times New Roman" w:eastAsia="仿宋_GB2312" w:cs="Times New Roman"/>
          <w:szCs w:val="24"/>
          <w:lang w:val="en-US" w:eastAsia="zh-CN" w:bidi="ar-SA"/>
        </w:rPr>
        <w:t>本次评价认为：项目政策及管理办法基本完善，做到了对每个环节进行把控。</w:t>
      </w:r>
    </w:p>
    <w:p>
      <w:pPr>
        <w:spacing w:line="600" w:lineRule="exact"/>
        <w:ind w:firstLine="600" w:firstLineChars="200"/>
        <w:outlineLvl w:val="0"/>
        <w:rPr>
          <w:rFonts w:hint="eastAsia" w:ascii="仿宋_GB2312" w:hAnsi="Times New Roman" w:eastAsia="仿宋_GB2312"/>
          <w:sz w:val="30"/>
          <w:szCs w:val="24"/>
        </w:rPr>
      </w:pPr>
      <w:r>
        <w:rPr>
          <w:rFonts w:hint="eastAsia" w:ascii="仿宋_GB2312" w:hAnsi="Times New Roman" w:eastAsia="仿宋_GB2312"/>
          <w:sz w:val="30"/>
          <w:szCs w:val="24"/>
        </w:rPr>
        <w:t>（三）项目产出情况</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项目产出数量、质量、时效、成本</w:t>
      </w:r>
      <w:r>
        <w:rPr>
          <w:rFonts w:hint="eastAsia" w:ascii="仿宋_GB2312" w:hAnsi="Times New Roman" w:eastAsia="仿宋_GB2312"/>
          <w:sz w:val="30"/>
          <w:szCs w:val="24"/>
          <w:highlight w:val="none"/>
          <w:lang w:eastAsia="zh-CN"/>
        </w:rPr>
        <w:t>指标</w:t>
      </w:r>
      <w:r>
        <w:rPr>
          <w:rFonts w:hint="eastAsia" w:ascii="仿宋_GB2312" w:hAnsi="Times New Roman" w:eastAsia="仿宋_GB2312"/>
          <w:sz w:val="30"/>
          <w:szCs w:val="24"/>
          <w:highlight w:val="none"/>
        </w:rPr>
        <w:t>完成情况如下：</w:t>
      </w:r>
    </w:p>
    <w:p>
      <w:pPr>
        <w:spacing w:line="600" w:lineRule="exact"/>
        <w:ind w:firstLine="600" w:firstLineChars="200"/>
        <w:outlineLvl w:val="0"/>
        <w:rPr>
          <w:rFonts w:hint="eastAsia" w:ascii="仿宋_GB2312" w:hAnsi="Times New Roman" w:eastAsia="仿宋_GB2312"/>
          <w:sz w:val="30"/>
          <w:szCs w:val="24"/>
          <w:highlight w:val="none"/>
          <w:lang w:eastAsia="zh-CN"/>
        </w:rPr>
      </w:pPr>
      <w:bookmarkStart w:id="13" w:name="bookmark83"/>
      <w:r>
        <w:rPr>
          <w:rFonts w:hint="eastAsia" w:ascii="仿宋_GB2312" w:hAnsi="Times New Roman" w:eastAsia="仿宋_GB2312"/>
          <w:sz w:val="30"/>
          <w:szCs w:val="24"/>
          <w:highlight w:val="none"/>
        </w:rPr>
        <w:t>数量指标</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改造指挥部机房数量≥1个</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实际完成值2个</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完成率100%;</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设备采购次数≥1次</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实际完成值</w:t>
      </w:r>
      <w:r>
        <w:rPr>
          <w:rFonts w:hint="eastAsia" w:ascii="仿宋_GB2312" w:hAnsi="Times New Roman" w:eastAsia="仿宋_GB2312"/>
          <w:sz w:val="30"/>
          <w:szCs w:val="24"/>
          <w:highlight w:val="none"/>
        </w:rPr>
        <w:tab/>
      </w:r>
      <w:r>
        <w:rPr>
          <w:rFonts w:hint="eastAsia" w:ascii="仿宋_GB2312" w:hAnsi="Times New Roman" w:eastAsia="仿宋_GB2312"/>
          <w:sz w:val="30"/>
          <w:szCs w:val="24"/>
          <w:highlight w:val="none"/>
        </w:rPr>
        <w:t>1次</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完成率100%;</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服装采购次数≥1次</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实际完成值1次</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完成率100%;</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质量指标</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服装及设备合格率=100%</w:t>
      </w:r>
      <w:r>
        <w:rPr>
          <w:rFonts w:hint="eastAsia" w:ascii="仿宋_GB2312" w:hAnsi="Times New Roman" w:eastAsia="仿宋_GB2312"/>
          <w:sz w:val="30"/>
          <w:szCs w:val="24"/>
          <w:highlight w:val="none"/>
        </w:rPr>
        <w:tab/>
      </w:r>
      <w:r>
        <w:rPr>
          <w:rFonts w:hint="eastAsia" w:ascii="仿宋_GB2312" w:hAnsi="Times New Roman" w:eastAsia="仿宋_GB2312"/>
          <w:sz w:val="30"/>
          <w:szCs w:val="24"/>
          <w:highlight w:val="none"/>
          <w:lang w:eastAsia="zh-CN"/>
        </w:rPr>
        <w:t>，实际完成值</w:t>
      </w:r>
      <w:r>
        <w:rPr>
          <w:rFonts w:hint="eastAsia" w:ascii="仿宋_GB2312" w:hAnsi="Times New Roman" w:eastAsia="仿宋_GB2312"/>
          <w:sz w:val="30"/>
          <w:szCs w:val="24"/>
          <w:highlight w:val="none"/>
        </w:rPr>
        <w:t>100%</w:t>
      </w:r>
      <w:r>
        <w:rPr>
          <w:rFonts w:hint="eastAsia" w:ascii="仿宋_GB2312" w:hAnsi="Times New Roman" w:eastAsia="仿宋_GB2312"/>
          <w:sz w:val="30"/>
          <w:szCs w:val="24"/>
          <w:highlight w:val="none"/>
          <w:lang w:eastAsia="zh-CN"/>
        </w:rPr>
        <w:t>，完成率</w:t>
      </w:r>
      <w:r>
        <w:rPr>
          <w:rFonts w:hint="eastAsia" w:ascii="仿宋_GB2312" w:hAnsi="Times New Roman" w:eastAsia="仿宋_GB2312"/>
          <w:sz w:val="30"/>
          <w:szCs w:val="24"/>
          <w:highlight w:val="none"/>
        </w:rPr>
        <w:t>100%;</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机房改建验收合格率=100%</w:t>
      </w:r>
      <w:r>
        <w:rPr>
          <w:rFonts w:hint="eastAsia" w:ascii="仿宋_GB2312" w:hAnsi="Times New Roman" w:eastAsia="仿宋_GB2312"/>
          <w:sz w:val="30"/>
          <w:szCs w:val="24"/>
          <w:highlight w:val="none"/>
          <w:lang w:eastAsia="zh-CN"/>
        </w:rPr>
        <w:t>，实际完成值</w:t>
      </w:r>
      <w:r>
        <w:rPr>
          <w:rFonts w:hint="eastAsia" w:ascii="仿宋_GB2312" w:hAnsi="Times New Roman" w:eastAsia="仿宋_GB2312"/>
          <w:sz w:val="30"/>
          <w:szCs w:val="24"/>
          <w:highlight w:val="none"/>
        </w:rPr>
        <w:t>100%</w:t>
      </w:r>
      <w:r>
        <w:rPr>
          <w:rFonts w:hint="eastAsia" w:ascii="仿宋_GB2312" w:hAnsi="Times New Roman" w:eastAsia="仿宋_GB2312"/>
          <w:sz w:val="30"/>
          <w:szCs w:val="24"/>
          <w:highlight w:val="none"/>
          <w:lang w:eastAsia="zh-CN"/>
        </w:rPr>
        <w:t>，完成率</w:t>
      </w:r>
      <w:r>
        <w:rPr>
          <w:rFonts w:hint="eastAsia" w:ascii="仿宋_GB2312" w:hAnsi="Times New Roman" w:eastAsia="仿宋_GB2312"/>
          <w:sz w:val="30"/>
          <w:szCs w:val="24"/>
          <w:highlight w:val="none"/>
        </w:rPr>
        <w:t>100%;</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时效指标</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设备及服装采购时限≤30天</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实际完成值30天</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完成率100%;</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机房改造完成≤2个月</w:t>
      </w:r>
      <w:r>
        <w:rPr>
          <w:rFonts w:hint="eastAsia" w:ascii="仿宋_GB2312" w:hAnsi="Times New Roman" w:eastAsia="仿宋_GB2312"/>
          <w:sz w:val="30"/>
          <w:szCs w:val="24"/>
          <w:highlight w:val="none"/>
        </w:rPr>
        <w:tab/>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实际完成值2个月</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完成率100%;</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成本指标</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每次设备采购金额≤20万元</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实际完成值20万元</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完成率100%;</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ab/>
      </w:r>
      <w:r>
        <w:rPr>
          <w:rFonts w:hint="eastAsia" w:ascii="仿宋_GB2312" w:hAnsi="Times New Roman" w:eastAsia="仿宋_GB2312"/>
          <w:sz w:val="30"/>
          <w:szCs w:val="24"/>
          <w:highlight w:val="none"/>
        </w:rPr>
        <w:t>机房改造成本≤100万元</w:t>
      </w:r>
      <w:r>
        <w:rPr>
          <w:rFonts w:hint="eastAsia" w:ascii="仿宋_GB2312" w:hAnsi="Times New Roman" w:eastAsia="仿宋_GB2312"/>
          <w:sz w:val="30"/>
          <w:szCs w:val="24"/>
          <w:highlight w:val="none"/>
        </w:rPr>
        <w:tab/>
      </w:r>
      <w:r>
        <w:rPr>
          <w:rFonts w:hint="eastAsia" w:ascii="仿宋_GB2312" w:hAnsi="Times New Roman" w:eastAsia="仿宋_GB2312"/>
          <w:sz w:val="30"/>
          <w:szCs w:val="24"/>
          <w:highlight w:val="none"/>
          <w:lang w:eastAsia="zh-CN"/>
        </w:rPr>
        <w:t>，实际完成值</w:t>
      </w:r>
      <w:r>
        <w:rPr>
          <w:rFonts w:hint="eastAsia" w:ascii="仿宋_GB2312" w:hAnsi="Times New Roman" w:eastAsia="仿宋_GB2312"/>
          <w:sz w:val="30"/>
          <w:szCs w:val="24"/>
          <w:highlight w:val="none"/>
          <w:lang w:val="en-US" w:eastAsia="zh-CN"/>
        </w:rPr>
        <w:t>60</w:t>
      </w:r>
      <w:r>
        <w:rPr>
          <w:rFonts w:hint="eastAsia" w:ascii="仿宋_GB2312" w:hAnsi="Times New Roman" w:eastAsia="仿宋_GB2312"/>
          <w:sz w:val="30"/>
          <w:szCs w:val="24"/>
          <w:highlight w:val="none"/>
        </w:rPr>
        <w:t>万元</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完成率100%;</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ab/>
      </w:r>
      <w:r>
        <w:rPr>
          <w:rFonts w:hint="eastAsia" w:ascii="仿宋_GB2312" w:hAnsi="Times New Roman" w:eastAsia="仿宋_GB2312"/>
          <w:sz w:val="30"/>
          <w:szCs w:val="24"/>
          <w:highlight w:val="none"/>
        </w:rPr>
        <w:t>服装采购金额每次</w:t>
      </w:r>
      <w:r>
        <w:rPr>
          <w:rFonts w:hint="eastAsia" w:ascii="仿宋_GB2312" w:hAnsi="Times New Roman" w:eastAsia="仿宋_GB2312"/>
          <w:sz w:val="30"/>
          <w:szCs w:val="24"/>
          <w:highlight w:val="none"/>
        </w:rPr>
        <w:tab/>
      </w:r>
      <w:r>
        <w:rPr>
          <w:rFonts w:hint="eastAsia" w:ascii="仿宋_GB2312" w:hAnsi="Times New Roman" w:eastAsia="仿宋_GB2312"/>
          <w:sz w:val="30"/>
          <w:szCs w:val="24"/>
          <w:highlight w:val="none"/>
        </w:rPr>
        <w:t>≤5万元</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ab/>
      </w:r>
      <w:r>
        <w:rPr>
          <w:rFonts w:hint="eastAsia" w:ascii="仿宋_GB2312" w:hAnsi="Times New Roman" w:eastAsia="仿宋_GB2312"/>
          <w:sz w:val="30"/>
          <w:szCs w:val="24"/>
          <w:highlight w:val="none"/>
          <w:lang w:eastAsia="zh-CN"/>
        </w:rPr>
        <w:t>实际完成值</w:t>
      </w:r>
      <w:r>
        <w:rPr>
          <w:rFonts w:hint="eastAsia" w:ascii="仿宋_GB2312" w:hAnsi="Times New Roman" w:eastAsia="仿宋_GB2312"/>
          <w:sz w:val="30"/>
          <w:szCs w:val="24"/>
          <w:highlight w:val="none"/>
        </w:rPr>
        <w:t>4.3万元</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完成率100%;</w:t>
      </w:r>
    </w:p>
    <w:bookmarkEnd w:id="13"/>
    <w:p>
      <w:pPr>
        <w:spacing w:line="600" w:lineRule="exact"/>
        <w:ind w:firstLine="600" w:firstLineChars="200"/>
        <w:outlineLvl w:val="0"/>
        <w:rPr>
          <w:rFonts w:hint="eastAsia"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lang w:val="en-US" w:eastAsia="zh-CN"/>
        </w:rPr>
        <w:t>截止2019年12月31日，根据设定数量指标已全部完成，得分8分；根据设定质量指标已全部完成，得分7分；根据设定时效指标已全部完成，得分8分；根据设定成本指标已全部完成，得分7分；项目产出情况合计得分30分。</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（四）项目效益情况</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lang w:eastAsia="zh-CN"/>
        </w:rPr>
        <w:t>项目</w:t>
      </w:r>
      <w:r>
        <w:rPr>
          <w:rFonts w:hint="eastAsia" w:ascii="仿宋_GB2312" w:hAnsi="Times New Roman" w:eastAsia="仿宋_GB2312"/>
          <w:sz w:val="30"/>
          <w:szCs w:val="24"/>
          <w:highlight w:val="none"/>
        </w:rPr>
        <w:t>社会效益</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lang w:val="en-US" w:eastAsia="zh-CN"/>
        </w:rPr>
        <w:t>可持续影响指标</w:t>
      </w:r>
      <w:r>
        <w:rPr>
          <w:rFonts w:hint="eastAsia" w:ascii="仿宋_GB2312" w:hAnsi="Times New Roman" w:eastAsia="仿宋_GB2312"/>
          <w:sz w:val="30"/>
          <w:szCs w:val="24"/>
          <w:highlight w:val="none"/>
        </w:rPr>
        <w:t>完成情况如下：</w:t>
      </w:r>
    </w:p>
    <w:p>
      <w:pPr>
        <w:spacing w:line="600" w:lineRule="exact"/>
        <w:ind w:firstLine="600" w:firstLineChars="200"/>
        <w:outlineLvl w:val="0"/>
        <w:rPr>
          <w:rFonts w:hint="eastAsia" w:ascii="仿宋_GB2312" w:hAnsi="Times New Roman" w:eastAsia="仿宋_GB2312"/>
          <w:sz w:val="30"/>
          <w:szCs w:val="24"/>
          <w:highlight w:val="none"/>
        </w:rPr>
      </w:pPr>
      <w:bookmarkStart w:id="14" w:name="bookmark88"/>
      <w:bookmarkEnd w:id="14"/>
      <w:r>
        <w:rPr>
          <w:rFonts w:hint="eastAsia" w:ascii="仿宋_GB2312" w:hAnsi="Times New Roman" w:eastAsia="仿宋_GB2312"/>
          <w:sz w:val="30"/>
          <w:szCs w:val="24"/>
          <w:highlight w:val="none"/>
        </w:rPr>
        <w:t>无经济效益及生态效益</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社会效益指标</w:t>
      </w:r>
      <w:r>
        <w:rPr>
          <w:rFonts w:hint="eastAsia" w:ascii="仿宋_GB2312" w:hAnsi="Times New Roman" w:eastAsia="仿宋_GB2312"/>
          <w:sz w:val="30"/>
          <w:szCs w:val="24"/>
          <w:highlight w:val="none"/>
        </w:rPr>
        <w:tab/>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辖区群众安全感不断提高长期</w:t>
      </w:r>
      <w:r>
        <w:rPr>
          <w:rFonts w:hint="eastAsia" w:ascii="仿宋_GB2312" w:hAnsi="Times New Roman" w:eastAsia="仿宋_GB2312"/>
          <w:sz w:val="30"/>
          <w:szCs w:val="24"/>
          <w:highlight w:val="none"/>
          <w:lang w:eastAsia="zh-CN"/>
        </w:rPr>
        <w:t>，实际完成值</w:t>
      </w:r>
      <w:r>
        <w:rPr>
          <w:rFonts w:hint="eastAsia" w:ascii="仿宋_GB2312" w:hAnsi="Times New Roman" w:eastAsia="仿宋_GB2312"/>
          <w:sz w:val="30"/>
          <w:szCs w:val="24"/>
          <w:highlight w:val="none"/>
        </w:rPr>
        <w:t>长期</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完成率100%;</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可持续影响指标</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辖区社会环境持续安全和谐</w:t>
      </w:r>
      <w:r>
        <w:rPr>
          <w:rFonts w:hint="eastAsia" w:ascii="仿宋_GB2312" w:hAnsi="Times New Roman" w:eastAsia="仿宋_GB2312"/>
          <w:sz w:val="30"/>
          <w:szCs w:val="24"/>
          <w:highlight w:val="none"/>
          <w:lang w:eastAsia="zh-CN"/>
        </w:rPr>
        <w:t>，实际完成值</w:t>
      </w:r>
      <w:r>
        <w:rPr>
          <w:rFonts w:hint="eastAsia" w:ascii="仿宋_GB2312" w:hAnsi="Times New Roman" w:eastAsia="仿宋_GB2312"/>
          <w:sz w:val="30"/>
          <w:szCs w:val="24"/>
          <w:highlight w:val="none"/>
        </w:rPr>
        <w:t>长期</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完成率100%;</w:t>
      </w:r>
    </w:p>
    <w:p>
      <w:pPr>
        <w:spacing w:line="600" w:lineRule="exact"/>
        <w:ind w:firstLine="600" w:firstLineChars="200"/>
        <w:outlineLvl w:val="0"/>
        <w:rPr>
          <w:rFonts w:hint="eastAsia" w:ascii="仿宋_GB2312" w:hAnsi="Times New Roman" w:eastAsia="仿宋_GB2312"/>
          <w:color w:val="auto"/>
          <w:sz w:val="30"/>
          <w:szCs w:val="24"/>
          <w:highlight w:val="none"/>
        </w:rPr>
      </w:pPr>
      <w:bookmarkStart w:id="15" w:name="bookmark90"/>
      <w:bookmarkEnd w:id="15"/>
      <w:r>
        <w:rPr>
          <w:rFonts w:hint="eastAsia" w:ascii="仿宋_GB2312" w:hAnsi="Times New Roman" w:eastAsia="仿宋_GB2312"/>
          <w:color w:val="auto"/>
          <w:sz w:val="30"/>
          <w:szCs w:val="24"/>
          <w:highlight w:val="none"/>
        </w:rPr>
        <w:t>截止2019年12月31日，根据设定经济效益指标无，得分0分；根据设定社会效益指标已全部完成，得分</w:t>
      </w:r>
      <w:r>
        <w:rPr>
          <w:rFonts w:hint="eastAsia" w:ascii="仿宋_GB2312" w:hAnsi="Times New Roman" w:eastAsia="仿宋_GB2312"/>
          <w:color w:val="auto"/>
          <w:sz w:val="30"/>
          <w:szCs w:val="24"/>
          <w:highlight w:val="none"/>
          <w:lang w:val="en-US" w:eastAsia="zh-CN"/>
        </w:rPr>
        <w:t>10</w:t>
      </w:r>
      <w:r>
        <w:rPr>
          <w:rFonts w:hint="eastAsia" w:ascii="仿宋_GB2312" w:hAnsi="Times New Roman" w:eastAsia="仿宋_GB2312"/>
          <w:color w:val="auto"/>
          <w:sz w:val="30"/>
          <w:szCs w:val="24"/>
          <w:highlight w:val="none"/>
        </w:rPr>
        <w:t>分；根据设定生态效益指标无，得分0分；根据设定可持续影响指标已全部完成，得分</w:t>
      </w:r>
      <w:r>
        <w:rPr>
          <w:rFonts w:hint="eastAsia" w:ascii="仿宋_GB2312" w:hAnsi="Times New Roman" w:eastAsia="仿宋_GB2312"/>
          <w:color w:val="auto"/>
          <w:sz w:val="30"/>
          <w:szCs w:val="24"/>
          <w:highlight w:val="none"/>
          <w:lang w:val="en-US" w:eastAsia="zh-CN"/>
        </w:rPr>
        <w:t>10</w:t>
      </w:r>
      <w:r>
        <w:rPr>
          <w:rFonts w:hint="eastAsia" w:ascii="仿宋_GB2312" w:hAnsi="Times New Roman" w:eastAsia="仿宋_GB2312"/>
          <w:color w:val="auto"/>
          <w:sz w:val="30"/>
          <w:szCs w:val="24"/>
          <w:highlight w:val="none"/>
        </w:rPr>
        <w:t>分；项目效益情况合计得分</w:t>
      </w:r>
      <w:r>
        <w:rPr>
          <w:rFonts w:hint="eastAsia" w:ascii="仿宋_GB2312" w:hAnsi="Times New Roman" w:eastAsia="仿宋_GB2312"/>
          <w:color w:val="auto"/>
          <w:sz w:val="30"/>
          <w:szCs w:val="24"/>
          <w:highlight w:val="none"/>
          <w:lang w:val="en-US" w:eastAsia="zh-CN"/>
        </w:rPr>
        <w:t>20</w:t>
      </w:r>
      <w:r>
        <w:rPr>
          <w:rFonts w:hint="eastAsia" w:ascii="仿宋_GB2312" w:hAnsi="Times New Roman" w:eastAsia="仿宋_GB2312"/>
          <w:color w:val="auto"/>
          <w:sz w:val="30"/>
          <w:szCs w:val="24"/>
          <w:highlight w:val="none"/>
        </w:rPr>
        <w:t>分。</w:t>
      </w:r>
    </w:p>
    <w:p>
      <w:pPr>
        <w:spacing w:line="600" w:lineRule="exact"/>
        <w:ind w:firstLine="600" w:firstLineChars="200"/>
        <w:outlineLvl w:val="0"/>
        <w:rPr>
          <w:rFonts w:hint="eastAsia" w:ascii="仿宋_GB2312" w:hAnsi="Times New Roman" w:eastAsia="仿宋_GB2312"/>
          <w:sz w:val="30"/>
          <w:szCs w:val="24"/>
          <w:highlight w:val="none"/>
        </w:rPr>
      </w:pPr>
      <w:bookmarkStart w:id="16" w:name="_GoBack"/>
      <w:bookmarkEnd w:id="16"/>
      <w:r>
        <w:rPr>
          <w:rFonts w:hint="eastAsia" w:ascii="仿宋_GB2312" w:hAnsi="Times New Roman" w:eastAsia="仿宋_GB2312"/>
          <w:sz w:val="30"/>
          <w:szCs w:val="24"/>
          <w:highlight w:val="none"/>
        </w:rPr>
        <w:t>（五）满意度情况</w:t>
      </w:r>
    </w:p>
    <w:p>
      <w:pPr>
        <w:spacing w:line="600" w:lineRule="exact"/>
        <w:ind w:firstLine="600" w:firstLineChars="200"/>
        <w:outlineLvl w:val="0"/>
        <w:rPr>
          <w:rFonts w:hint="eastAsia" w:ascii="仿宋_GB2312" w:hAnsi="Times New Roman" w:eastAsia="仿宋_GB2312"/>
          <w:sz w:val="30"/>
          <w:szCs w:val="24"/>
          <w:highlight w:val="none"/>
          <w:lang w:eastAsia="zh-CN"/>
        </w:rPr>
      </w:pPr>
      <w:r>
        <w:rPr>
          <w:rFonts w:hint="eastAsia" w:ascii="仿宋_GB2312" w:hAnsi="Times New Roman" w:eastAsia="仿宋_GB2312"/>
          <w:sz w:val="30"/>
          <w:szCs w:val="24"/>
          <w:highlight w:val="none"/>
        </w:rPr>
        <w:t>服务对象满意度指标</w:t>
      </w:r>
      <w:r>
        <w:rPr>
          <w:rFonts w:hint="eastAsia" w:ascii="仿宋_GB2312" w:hAnsi="Times New Roman" w:eastAsia="仿宋_GB2312"/>
          <w:sz w:val="30"/>
          <w:szCs w:val="24"/>
          <w:highlight w:val="none"/>
        </w:rPr>
        <w:tab/>
      </w:r>
      <w:r>
        <w:rPr>
          <w:rFonts w:hint="eastAsia" w:ascii="仿宋_GB2312" w:hAnsi="Times New Roman" w:eastAsia="仿宋_GB2312"/>
          <w:sz w:val="30"/>
          <w:szCs w:val="24"/>
          <w:highlight w:val="none"/>
        </w:rPr>
        <w:t>机房使用人员满意度≥95%</w:t>
      </w:r>
      <w:r>
        <w:rPr>
          <w:rFonts w:hint="eastAsia" w:ascii="仿宋_GB2312" w:hAnsi="Times New Roman" w:eastAsia="仿宋_GB2312"/>
          <w:sz w:val="30"/>
          <w:szCs w:val="24"/>
          <w:highlight w:val="none"/>
          <w:lang w:eastAsia="zh-CN"/>
        </w:rPr>
        <w:t>，实际完成值</w:t>
      </w:r>
      <w:r>
        <w:rPr>
          <w:rFonts w:hint="eastAsia" w:ascii="仿宋_GB2312" w:hAnsi="Times New Roman" w:eastAsia="仿宋_GB2312"/>
          <w:sz w:val="30"/>
          <w:szCs w:val="24"/>
          <w:highlight w:val="none"/>
        </w:rPr>
        <w:tab/>
      </w:r>
      <w:r>
        <w:rPr>
          <w:rFonts w:hint="eastAsia" w:ascii="仿宋_GB2312" w:hAnsi="Times New Roman" w:eastAsia="仿宋_GB2312"/>
          <w:sz w:val="30"/>
          <w:szCs w:val="24"/>
          <w:highlight w:val="none"/>
        </w:rPr>
        <w:t>95%</w:t>
      </w:r>
      <w:r>
        <w:rPr>
          <w:rFonts w:hint="eastAsia" w:ascii="仿宋_GB2312" w:hAnsi="Times New Roman" w:eastAsia="仿宋_GB2312"/>
          <w:sz w:val="30"/>
          <w:szCs w:val="24"/>
          <w:highlight w:val="none"/>
          <w:lang w:eastAsia="zh-CN"/>
        </w:rPr>
        <w:t>，</w:t>
      </w:r>
      <w:r>
        <w:rPr>
          <w:rFonts w:hint="eastAsia" w:ascii="仿宋_GB2312" w:hAnsi="Times New Roman" w:eastAsia="仿宋_GB2312"/>
          <w:sz w:val="30"/>
          <w:szCs w:val="24"/>
          <w:highlight w:val="none"/>
        </w:rPr>
        <w:t>完成率100%;</w:t>
      </w:r>
    </w:p>
    <w:p>
      <w:pPr>
        <w:spacing w:line="600" w:lineRule="exact"/>
        <w:ind w:firstLine="600" w:firstLineChars="200"/>
        <w:outlineLvl w:val="0"/>
        <w:rPr>
          <w:rFonts w:hint="default" w:ascii="仿宋_GB2312" w:hAnsi="Times New Roman" w:eastAsia="仿宋_GB2312"/>
          <w:sz w:val="30"/>
          <w:szCs w:val="24"/>
          <w:highlight w:val="none"/>
          <w:lang w:val="en-US" w:eastAsia="zh-CN"/>
        </w:rPr>
      </w:pPr>
      <w:r>
        <w:rPr>
          <w:rFonts w:hint="eastAsia" w:ascii="仿宋_GB2312" w:hAnsi="Times New Roman" w:eastAsia="仿宋_GB2312"/>
          <w:sz w:val="30"/>
          <w:szCs w:val="24"/>
          <w:highlight w:val="none"/>
          <w:lang w:eastAsia="zh-CN"/>
        </w:rPr>
        <w:t>截止</w:t>
      </w:r>
      <w:r>
        <w:rPr>
          <w:rFonts w:hint="eastAsia" w:ascii="仿宋_GB2312" w:hAnsi="Times New Roman" w:eastAsia="仿宋_GB2312"/>
          <w:sz w:val="30"/>
          <w:szCs w:val="24"/>
          <w:highlight w:val="none"/>
          <w:lang w:val="en-US" w:eastAsia="zh-CN"/>
        </w:rPr>
        <w:t>2019年12月31日，</w:t>
      </w:r>
      <w:r>
        <w:rPr>
          <w:rFonts w:hint="eastAsia" w:ascii="仿宋_GB2312" w:hAnsi="Times New Roman" w:eastAsia="仿宋_GB2312"/>
          <w:sz w:val="30"/>
          <w:szCs w:val="24"/>
          <w:highlight w:val="none"/>
          <w:lang w:eastAsia="zh-CN"/>
        </w:rPr>
        <w:t>根据设定</w:t>
      </w:r>
      <w:r>
        <w:rPr>
          <w:rFonts w:hint="eastAsia" w:ascii="仿宋_GB2312" w:hAnsi="Times New Roman" w:eastAsia="仿宋_GB2312"/>
          <w:sz w:val="30"/>
          <w:szCs w:val="24"/>
          <w:highlight w:val="none"/>
        </w:rPr>
        <w:t>该项目</w:t>
      </w:r>
      <w:r>
        <w:rPr>
          <w:rFonts w:hint="eastAsia" w:ascii="仿宋_GB2312" w:hAnsi="Times New Roman" w:eastAsia="仿宋_GB2312"/>
          <w:sz w:val="30"/>
          <w:szCs w:val="24"/>
          <w:highlight w:val="none"/>
          <w:lang w:eastAsia="zh-CN"/>
        </w:rPr>
        <w:t>满意度指标已</w:t>
      </w:r>
      <w:r>
        <w:rPr>
          <w:rFonts w:hint="eastAsia" w:ascii="仿宋_GB2312" w:hAnsi="Times New Roman" w:eastAsia="仿宋_GB2312"/>
          <w:sz w:val="30"/>
          <w:szCs w:val="24"/>
          <w:highlight w:val="none"/>
        </w:rPr>
        <w:t>达到预期成效；</w:t>
      </w:r>
      <w:r>
        <w:rPr>
          <w:rFonts w:hint="eastAsia" w:ascii="仿宋_GB2312" w:hAnsi="Times New Roman" w:eastAsia="仿宋_GB2312"/>
          <w:sz w:val="30"/>
          <w:szCs w:val="24"/>
          <w:highlight w:val="none"/>
          <w:lang w:eastAsia="zh-CN"/>
        </w:rPr>
        <w:t>合计得分</w:t>
      </w:r>
      <w:r>
        <w:rPr>
          <w:rFonts w:hint="eastAsia" w:ascii="仿宋_GB2312" w:hAnsi="Times New Roman" w:eastAsia="仿宋_GB2312"/>
          <w:sz w:val="30"/>
          <w:szCs w:val="24"/>
          <w:highlight w:val="none"/>
          <w:lang w:val="en-US" w:eastAsia="zh-CN"/>
        </w:rPr>
        <w:t>10分。</w:t>
      </w:r>
    </w:p>
    <w:p>
      <w:pPr>
        <w:numPr>
          <w:ilvl w:val="0"/>
          <w:numId w:val="5"/>
        </w:numPr>
        <w:spacing w:line="600" w:lineRule="exact"/>
        <w:ind w:firstLine="600" w:firstLineChars="200"/>
        <w:rPr>
          <w:rFonts w:hint="eastAsia" w:ascii="黑体" w:hAnsi="黑体" w:eastAsia="黑体"/>
          <w:sz w:val="30"/>
          <w:szCs w:val="24"/>
          <w:highlight w:val="none"/>
        </w:rPr>
      </w:pPr>
      <w:r>
        <w:rPr>
          <w:rFonts w:hint="eastAsia" w:ascii="黑体" w:hAnsi="黑体" w:eastAsia="黑体"/>
          <w:sz w:val="30"/>
          <w:szCs w:val="24"/>
          <w:highlight w:val="none"/>
        </w:rPr>
        <w:t>主要经验及做法、存在的问题及原因分析</w:t>
      </w:r>
    </w:p>
    <w:p>
      <w:pPr>
        <w:pStyle w:val="13"/>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（一）主要经验及做法</w:t>
      </w:r>
    </w:p>
    <w:p>
      <w:pPr>
        <w:pStyle w:val="14"/>
        <w:spacing w:line="52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1、严格执行财政部门下发的经费管理要求进行开支和管理，按照年初各部门详细填列预算开支项目，严格遵守节约制度，落实地方财政预算管理、采购管理、财务管理等相关管理制度。</w:t>
      </w:r>
    </w:p>
    <w:p>
      <w:pPr>
        <w:pStyle w:val="14"/>
        <w:spacing w:line="52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2、规范专项资金管理。在预算编制中，加强对项目的清理整合，优化支出结构，以项目支出促进业务开展。通过规范专项资金支出管理，硬化预算约束，建立</w:t>
      </w:r>
      <w:r>
        <w:rPr>
          <w:rFonts w:hint="eastAsia" w:ascii="仿宋_GB2312" w:eastAsia="仿宋_GB2312"/>
          <w:kern w:val="2"/>
          <w:sz w:val="30"/>
          <w:szCs w:val="24"/>
          <w:highlight w:val="none"/>
          <w:lang w:eastAsia="zh-CN"/>
        </w:rPr>
        <w:t>：</w:t>
      </w:r>
      <w:r>
        <w:rPr>
          <w:rFonts w:hint="eastAsia" w:ascii="仿宋_GB2312" w:eastAsia="仿宋_GB2312"/>
          <w:kern w:val="2"/>
          <w:sz w:val="30"/>
          <w:szCs w:val="24"/>
          <w:highlight w:val="none"/>
        </w:rPr>
        <w:t>预算编制有目标、预算执行有监控。预算完成有评价、预算结果有反馈、反馈结果有运用的管理模式。</w:t>
      </w:r>
    </w:p>
    <w:p>
      <w:pPr>
        <w:pStyle w:val="14"/>
        <w:spacing w:line="52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3、进一步完善绩效评价、监督机制等方面的制度建设，扩大绩效评价的范围，对项目实施效果进行绩效跟踪和多方评估。对部门预算安排的项目支出，项目实施单位除提供相关依据外，必须报送绩效报告。</w:t>
      </w:r>
    </w:p>
    <w:p>
      <w:pPr>
        <w:spacing w:line="600" w:lineRule="exact"/>
        <w:ind w:firstLine="600" w:firstLineChars="200"/>
        <w:outlineLvl w:val="0"/>
        <w:rPr>
          <w:rFonts w:ascii="仿宋_GB2312" w:hAnsi="Times New Roman" w:eastAsia="仿宋_GB2312"/>
          <w:sz w:val="30"/>
          <w:szCs w:val="24"/>
          <w:highlight w:val="none"/>
        </w:rPr>
      </w:pPr>
      <w:r>
        <w:rPr>
          <w:rFonts w:hint="eastAsia" w:ascii="仿宋_GB2312" w:hAnsi="Times New Roman" w:eastAsia="仿宋_GB2312"/>
          <w:sz w:val="30"/>
          <w:szCs w:val="24"/>
          <w:highlight w:val="none"/>
        </w:rPr>
        <w:t>（二）存在问题及原因分析</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预算绩效管理有待提升</w:t>
      </w:r>
    </w:p>
    <w:p>
      <w:pPr>
        <w:spacing w:line="600" w:lineRule="exact"/>
        <w:ind w:firstLine="600" w:firstLineChars="200"/>
        <w:outlineLvl w:val="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预算绩效管理水平不够，目标约束力不够强，绩效理念树立尚不牢</w:t>
      </w:r>
      <w:r>
        <w:rPr>
          <w:rFonts w:hint="eastAsia" w:ascii="仿宋_GB2312" w:hAnsi="Times New Roman" w:eastAsia="仿宋_GB2312"/>
          <w:color w:val="auto"/>
          <w:sz w:val="30"/>
          <w:szCs w:val="24"/>
          <w:highlight w:val="none"/>
        </w:rPr>
        <w:t>固，年初项目绩效目标设置存在问题，产出指标中成本指标、时效指标均未设置，项目相关受益群体的满意度指标存不明确设置；自评表中指标完成值书写不规范，报告质量有待提高。</w:t>
      </w:r>
    </w:p>
    <w:p>
      <w:pPr>
        <w:numPr>
          <w:ilvl w:val="0"/>
          <w:numId w:val="5"/>
        </w:numPr>
        <w:spacing w:line="600" w:lineRule="exact"/>
        <w:ind w:firstLine="600" w:firstLineChars="200"/>
        <w:rPr>
          <w:rFonts w:hint="eastAsia" w:ascii="黑体" w:hAnsi="黑体" w:eastAsia="黑体"/>
          <w:sz w:val="30"/>
          <w:szCs w:val="24"/>
          <w:highlight w:val="none"/>
        </w:rPr>
      </w:pPr>
      <w:r>
        <w:rPr>
          <w:rFonts w:hint="eastAsia" w:ascii="黑体" w:hAnsi="黑体" w:eastAsia="黑体"/>
          <w:sz w:val="30"/>
          <w:szCs w:val="24"/>
          <w:highlight w:val="none"/>
        </w:rPr>
        <w:t>有关建议</w:t>
      </w:r>
    </w:p>
    <w:p>
      <w:pPr>
        <w:pStyle w:val="13"/>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1.预算安排和执行方面建议</w:t>
      </w:r>
    </w:p>
    <w:p>
      <w:pPr>
        <w:pStyle w:val="14"/>
        <w:spacing w:line="56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严格按照预算管理规定进行立项确认。我单位办公室负责预算的编制、执行和上报等工作。在项目预算编制过程中,严格按照财政部门的相关要求坚持对项目先进行论证,结合论证情况编制预算,在预算安排中重点刚性支出,最后由财政部门结合我区财力情况进行预算安排。</w:t>
      </w:r>
    </w:p>
    <w:p>
      <w:pPr>
        <w:pStyle w:val="13"/>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2.制度建设方面建议</w:t>
      </w:r>
    </w:p>
    <w:p>
      <w:pPr>
        <w:spacing w:line="560" w:lineRule="exact"/>
        <w:ind w:firstLine="640"/>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w:t>
      </w:r>
    </w:p>
    <w:p>
      <w:pPr>
        <w:pStyle w:val="14"/>
        <w:spacing w:line="560" w:lineRule="exact"/>
        <w:ind w:firstLine="643"/>
        <w:rPr>
          <w:rFonts w:hint="eastAsia" w:ascii="仿宋_GB2312" w:eastAsia="仿宋_GB2312"/>
          <w:kern w:val="2"/>
          <w:sz w:val="30"/>
          <w:szCs w:val="24"/>
          <w:highlight w:val="none"/>
        </w:rPr>
      </w:pPr>
      <w:r>
        <w:rPr>
          <w:rFonts w:hint="eastAsia" w:ascii="仿宋_GB2312" w:eastAsia="仿宋_GB2312"/>
          <w:kern w:val="2"/>
          <w:sz w:val="30"/>
          <w:szCs w:val="24"/>
          <w:highlight w:val="none"/>
        </w:rPr>
        <w:t>3.项目管理方面建议</w:t>
      </w:r>
    </w:p>
    <w:p>
      <w:pPr>
        <w:pStyle w:val="14"/>
        <w:spacing w:line="56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p>
    <w:p>
      <w:pPr>
        <w:pStyle w:val="13"/>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4.资金管理方面建议</w:t>
      </w:r>
    </w:p>
    <w:p>
      <w:pPr>
        <w:pStyle w:val="14"/>
        <w:spacing w:line="56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严格执行财政部门下发的经费管理要求进行开支和管理，按照年初部门详细填列预算开支项目，严格遵守节约制度，落实地方财政预算管理、采购管理、财务管理等相关管理制度。</w:t>
      </w:r>
    </w:p>
    <w:p>
      <w:pPr>
        <w:pStyle w:val="13"/>
        <w:spacing w:line="560" w:lineRule="exact"/>
        <w:ind w:left="420"/>
        <w:rPr>
          <w:rFonts w:hint="eastAsia" w:ascii="仿宋_GB2312" w:eastAsia="仿宋_GB2312"/>
          <w:b w:val="0"/>
          <w:snapToGrid/>
          <w:kern w:val="2"/>
          <w:sz w:val="30"/>
          <w:szCs w:val="24"/>
          <w:highlight w:val="none"/>
        </w:rPr>
      </w:pPr>
      <w:r>
        <w:rPr>
          <w:rFonts w:hint="eastAsia" w:ascii="仿宋_GB2312" w:eastAsia="仿宋_GB2312"/>
          <w:b w:val="0"/>
          <w:snapToGrid/>
          <w:kern w:val="2"/>
          <w:sz w:val="30"/>
          <w:szCs w:val="24"/>
          <w:highlight w:val="none"/>
        </w:rPr>
        <w:t>5.其他方面建议</w:t>
      </w:r>
    </w:p>
    <w:p>
      <w:pPr>
        <w:pStyle w:val="14"/>
        <w:spacing w:line="560" w:lineRule="exact"/>
        <w:ind w:firstLine="640"/>
        <w:rPr>
          <w:rFonts w:hint="eastAsia" w:ascii="仿宋_GB2312" w:eastAsia="仿宋_GB2312"/>
          <w:kern w:val="2"/>
          <w:sz w:val="30"/>
          <w:szCs w:val="24"/>
          <w:highlight w:val="none"/>
        </w:rPr>
      </w:pPr>
      <w:r>
        <w:rPr>
          <w:rFonts w:hint="eastAsia" w:ascii="仿宋_GB2312" w:eastAsia="仿宋_GB2312"/>
          <w:kern w:val="2"/>
          <w:sz w:val="30"/>
          <w:szCs w:val="24"/>
          <w:highlight w:val="none"/>
        </w:rPr>
        <w:t>加强绩效评价力度。加强对项目的绩效评价，保障财政资金更合理的应用到实处，希望区财政局加强绩效评价培训及指导。</w:t>
      </w:r>
    </w:p>
    <w:p>
      <w:pPr>
        <w:numPr>
          <w:ilvl w:val="0"/>
          <w:numId w:val="5"/>
        </w:numPr>
        <w:spacing w:line="600" w:lineRule="exact"/>
        <w:ind w:firstLine="600" w:firstLineChars="200"/>
        <w:rPr>
          <w:rFonts w:hint="eastAsia" w:ascii="黑体" w:hAnsi="黑体" w:eastAsia="黑体"/>
          <w:sz w:val="30"/>
          <w:szCs w:val="24"/>
          <w:highlight w:val="none"/>
        </w:rPr>
      </w:pPr>
      <w:r>
        <w:rPr>
          <w:rFonts w:hint="eastAsia" w:ascii="黑体" w:hAnsi="黑体" w:eastAsia="黑体"/>
          <w:sz w:val="30"/>
          <w:szCs w:val="24"/>
          <w:highlight w:val="none"/>
        </w:rPr>
        <w:t>其他需要说明的问题</w:t>
      </w:r>
    </w:p>
    <w:p>
      <w:pPr>
        <w:rPr>
          <w:rFonts w:hint="eastAsia" w:ascii="仿宋_GB2312" w:hAnsi="Times New Roman" w:eastAsia="仿宋_GB2312"/>
          <w:sz w:val="30"/>
          <w:szCs w:val="24"/>
          <w:highlight w:val="none"/>
        </w:rPr>
      </w:pPr>
      <w:r>
        <w:rPr>
          <w:rFonts w:hint="eastAsia" w:ascii="仿宋_GB2312" w:hAnsi="Times New Roman" w:eastAsia="仿宋_GB2312"/>
          <w:sz w:val="30"/>
          <w:szCs w:val="24"/>
          <w:highlight w:val="none"/>
        </w:rPr>
        <w:t xml:space="preserve">     无</w:t>
      </w:r>
    </w:p>
    <w:p>
      <w:pPr>
        <w:spacing w:line="500" w:lineRule="exact"/>
        <w:rPr>
          <w:rFonts w:hint="eastAsia" w:ascii="仿宋_GB2312" w:hAnsi="Times New Roman" w:eastAsia="仿宋_GB2312"/>
          <w:sz w:val="30"/>
          <w:szCs w:val="24"/>
          <w:highlight w:val="none"/>
        </w:rPr>
      </w:pPr>
    </w:p>
    <w:p>
      <w:pPr>
        <w:spacing w:line="500" w:lineRule="exact"/>
        <w:rPr>
          <w:rFonts w:ascii="仿宋_GB2312" w:hAnsi="Times New Roman" w:eastAsia="仿宋_GB2312"/>
          <w:sz w:val="30"/>
          <w:szCs w:val="24"/>
          <w:highlight w:val="none"/>
        </w:rPr>
      </w:pPr>
      <w:r>
        <w:rPr>
          <w:rFonts w:hint="eastAsia" w:ascii="仿宋_GB2312" w:hAnsi="Times New Roman" w:eastAsia="仿宋_GB2312"/>
          <w:sz w:val="30"/>
          <w:szCs w:val="24"/>
          <w:highlight w:val="none"/>
        </w:rPr>
        <w:t>附件1</w:t>
      </w:r>
    </w:p>
    <w:p>
      <w:pPr>
        <w:spacing w:line="500" w:lineRule="exact"/>
        <w:ind w:left="420" w:leftChars="200" w:firstLine="2240" w:firstLineChars="700"/>
        <w:rPr>
          <w:rFonts w:hint="eastAsia" w:ascii="仿宋_GB2312" w:hAnsi="Times New Roman" w:eastAsia="仿宋_GB2312"/>
          <w:sz w:val="30"/>
          <w:szCs w:val="24"/>
          <w:highlight w:val="none"/>
        </w:rPr>
      </w:pPr>
      <w:r>
        <w:rPr>
          <w:color w:val="000000"/>
          <w:sz w:val="32"/>
          <w:szCs w:val="32"/>
          <w:highlight w:val="none"/>
        </w:rPr>
        <w:t>绩效评价指标体系</w:t>
      </w:r>
    </w:p>
    <w:tbl>
      <w:tblPr>
        <w:tblStyle w:val="5"/>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cs="宋体"/>
                <w:b/>
                <w:bCs/>
                <w:color w:val="000000"/>
                <w:kern w:val="0"/>
                <w:sz w:val="22"/>
                <w:highlight w:val="none"/>
              </w:rPr>
            </w:pPr>
            <w:r>
              <w:rPr>
                <w:rFonts w:hint="eastAsia" w:ascii="宋体" w:hAnsi="宋体" w:cs="宋体"/>
                <w:b/>
                <w:bCs/>
                <w:color w:val="000000"/>
                <w:kern w:val="0"/>
                <w:sz w:val="22"/>
                <w:highlight w:val="none"/>
              </w:rPr>
              <w:t>一级指标</w:t>
            </w:r>
          </w:p>
        </w:tc>
        <w:tc>
          <w:tcPr>
            <w:tcW w:w="1478" w:type="dxa"/>
            <w:shd w:val="clear" w:color="auto" w:fill="FFFFFF"/>
            <w:vAlign w:val="center"/>
          </w:tcPr>
          <w:p>
            <w:pPr>
              <w:widowControl/>
              <w:spacing w:line="0" w:lineRule="atLeast"/>
              <w:jc w:val="center"/>
              <w:rPr>
                <w:rFonts w:ascii="宋体" w:hAnsi="宋体" w:cs="宋体"/>
                <w:b/>
                <w:bCs/>
                <w:color w:val="000000"/>
                <w:kern w:val="0"/>
                <w:sz w:val="22"/>
                <w:highlight w:val="none"/>
              </w:rPr>
            </w:pPr>
            <w:r>
              <w:rPr>
                <w:rFonts w:hint="eastAsia" w:ascii="宋体" w:hAnsi="宋体" w:cs="宋体"/>
                <w:b/>
                <w:bCs/>
                <w:color w:val="000000"/>
                <w:kern w:val="0"/>
                <w:sz w:val="22"/>
                <w:highlight w:val="none"/>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b/>
                <w:bCs/>
                <w:color w:val="000000"/>
                <w:kern w:val="0"/>
                <w:sz w:val="22"/>
                <w:highlight w:val="none"/>
              </w:rPr>
            </w:pPr>
            <w:r>
              <w:rPr>
                <w:rFonts w:hint="eastAsia" w:ascii="宋体" w:hAnsi="宋体" w:cs="宋体"/>
                <w:b/>
                <w:bCs/>
                <w:color w:val="000000"/>
                <w:kern w:val="0"/>
                <w:sz w:val="22"/>
                <w:highlight w:val="none"/>
              </w:rPr>
              <w:t>三级指标</w:t>
            </w:r>
          </w:p>
        </w:tc>
        <w:tc>
          <w:tcPr>
            <w:tcW w:w="3885" w:type="dxa"/>
            <w:tcBorders>
              <w:right w:val="single" w:color="auto" w:sz="4" w:space="0"/>
            </w:tcBorders>
            <w:shd w:val="clear" w:color="auto" w:fill="FFFFFF"/>
            <w:vAlign w:val="top"/>
          </w:tcPr>
          <w:p>
            <w:pPr>
              <w:widowControl/>
              <w:spacing w:line="600" w:lineRule="auto"/>
              <w:jc w:val="center"/>
              <w:rPr>
                <w:rFonts w:hint="eastAsia" w:ascii="宋体" w:hAnsi="宋体" w:cs="宋体"/>
                <w:b/>
                <w:bCs/>
                <w:color w:val="000000"/>
                <w:kern w:val="0"/>
                <w:sz w:val="22"/>
                <w:highlight w:val="none"/>
              </w:rPr>
            </w:pPr>
            <w:r>
              <w:rPr>
                <w:rFonts w:hint="eastAsia" w:ascii="宋体" w:hAnsi="宋体" w:cs="宋体"/>
                <w:b/>
                <w:bCs/>
                <w:color w:val="000000"/>
                <w:kern w:val="0"/>
                <w:sz w:val="22"/>
                <w:highlight w:val="none"/>
              </w:rPr>
              <w:t>指标解释</w:t>
            </w:r>
          </w:p>
        </w:tc>
        <w:tc>
          <w:tcPr>
            <w:tcW w:w="990" w:type="dxa"/>
            <w:tcBorders>
              <w:left w:val="single" w:color="auto" w:sz="4" w:space="0"/>
            </w:tcBorders>
            <w:shd w:val="clear" w:color="auto" w:fill="FFFFFF"/>
            <w:vAlign w:val="top"/>
          </w:tcPr>
          <w:p>
            <w:pPr>
              <w:widowControl/>
              <w:spacing w:line="600" w:lineRule="auto"/>
              <w:jc w:val="center"/>
              <w:rPr>
                <w:rFonts w:hint="eastAsia" w:ascii="宋体" w:hAnsi="宋体" w:cs="宋体"/>
                <w:b/>
                <w:bCs/>
                <w:color w:val="000000"/>
                <w:kern w:val="0"/>
                <w:sz w:val="22"/>
                <w:highlight w:val="none"/>
              </w:rPr>
            </w:pPr>
            <w:r>
              <w:rPr>
                <w:rFonts w:hint="eastAsia" w:ascii="宋体" w:hAnsi="宋体" w:cs="宋体"/>
                <w:b/>
                <w:bCs/>
                <w:color w:val="000000"/>
                <w:kern w:val="0"/>
                <w:sz w:val="22"/>
                <w:highlight w:val="none"/>
              </w:rPr>
              <w:t>分值</w:t>
            </w:r>
          </w:p>
        </w:tc>
        <w:tc>
          <w:tcPr>
            <w:tcW w:w="874" w:type="dxa"/>
            <w:shd w:val="clear" w:color="auto" w:fill="FFFFFF"/>
            <w:vAlign w:val="top"/>
          </w:tcPr>
          <w:p>
            <w:pPr>
              <w:widowControl/>
              <w:spacing w:line="600" w:lineRule="auto"/>
              <w:jc w:val="center"/>
              <w:rPr>
                <w:rFonts w:hint="eastAsia" w:ascii="宋体" w:hAnsi="宋体" w:cs="宋体"/>
                <w:b/>
                <w:bCs/>
                <w:color w:val="000000"/>
                <w:kern w:val="0"/>
                <w:sz w:val="22"/>
                <w:highlight w:val="none"/>
              </w:rPr>
            </w:pPr>
            <w:r>
              <w:rPr>
                <w:rFonts w:hint="eastAsia" w:ascii="宋体" w:hAnsi="宋体" w:cs="宋体"/>
                <w:b/>
                <w:bCs/>
                <w:color w:val="000000"/>
                <w:kern w:val="0"/>
                <w:sz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立项依据</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充分性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4</w:t>
            </w:r>
          </w:p>
        </w:tc>
        <w:tc>
          <w:tcPr>
            <w:tcW w:w="874" w:type="dxa"/>
            <w:tcBorders>
              <w:bottom w:val="single" w:color="auto" w:sz="4" w:space="0"/>
            </w:tcBorders>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立项程序</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规范性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3</w:t>
            </w:r>
          </w:p>
        </w:tc>
        <w:tc>
          <w:tcPr>
            <w:tcW w:w="874" w:type="dxa"/>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绩效目标</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合理性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5</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绩效指标</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明确性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3</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资金投入</w:t>
            </w:r>
          </w:p>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预算编制</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科学性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4</w:t>
            </w:r>
          </w:p>
        </w:tc>
        <w:tc>
          <w:tcPr>
            <w:tcW w:w="874" w:type="dxa"/>
            <w:tcBorders>
              <w:bottom w:val="single" w:color="auto" w:sz="4" w:space="0"/>
            </w:tcBorders>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资金分配</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合理性</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4</w:t>
            </w:r>
          </w:p>
        </w:tc>
        <w:tc>
          <w:tcPr>
            <w:tcW w:w="874" w:type="dxa"/>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资金到位率</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4</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预算执行率</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5</w:t>
            </w:r>
          </w:p>
        </w:tc>
        <w:tc>
          <w:tcPr>
            <w:tcW w:w="874" w:type="dxa"/>
            <w:tcBorders>
              <w:bottom w:val="single" w:color="auto" w:sz="4" w:space="0"/>
            </w:tcBorders>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资金使用</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合规性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3</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组织实施</w:t>
            </w:r>
          </w:p>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管理制度</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健全性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3</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制度执行</w:t>
            </w:r>
          </w:p>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有效性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2</w:t>
            </w:r>
          </w:p>
        </w:tc>
        <w:tc>
          <w:tcPr>
            <w:tcW w:w="874" w:type="dxa"/>
            <w:tcBorders>
              <w:bottom w:val="single" w:color="auto" w:sz="4" w:space="0"/>
            </w:tcBorders>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实际完成率</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8</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质量达标率</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7</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highlight w:val="none"/>
              </w:rPr>
            </w:pPr>
          </w:p>
        </w:tc>
        <w:tc>
          <w:tcPr>
            <w:tcW w:w="1478" w:type="dxa"/>
            <w:shd w:val="clear" w:color="auto" w:fill="FFFFFF"/>
            <w:vAlign w:val="center"/>
          </w:tcPr>
          <w:p>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完成及时性</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8</w:t>
            </w:r>
          </w:p>
        </w:tc>
        <w:tc>
          <w:tcPr>
            <w:tcW w:w="874" w:type="dxa"/>
            <w:shd w:val="clear" w:color="000000" w:fill="FFFFFF"/>
            <w:vAlign w:val="top"/>
          </w:tcPr>
          <w:p>
            <w:pPr>
              <w:spacing w:line="600" w:lineRule="auto"/>
              <w:jc w:val="center"/>
              <w:rPr>
                <w:rFonts w:hint="eastAsia" w:eastAsia="宋体"/>
                <w:highlight w:val="none"/>
                <w:lang w:val="en-US" w:eastAsia="zh-CN"/>
              </w:rPr>
            </w:pPr>
            <w:r>
              <w:rPr>
                <w:rFonts w:hint="eastAsia"/>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hint="eastAsia" w:ascii="宋体" w:hAnsi="宋体" w:cs="宋体"/>
                <w:color w:val="000000"/>
                <w:kern w:val="0"/>
                <w:sz w:val="22"/>
                <w:highlight w:val="none"/>
              </w:rPr>
            </w:pPr>
          </w:p>
        </w:tc>
        <w:tc>
          <w:tcPr>
            <w:tcW w:w="1478" w:type="dxa"/>
            <w:shd w:val="clear" w:color="auto" w:fill="FFFFFF"/>
            <w:vAlign w:val="center"/>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产出成本</w:t>
            </w:r>
          </w:p>
        </w:tc>
        <w:tc>
          <w:tcPr>
            <w:tcW w:w="1875" w:type="dxa"/>
            <w:tcBorders>
              <w:right w:val="single" w:color="auto" w:sz="4" w:space="0"/>
            </w:tcBorders>
            <w:shd w:val="clear" w:color="auto" w:fill="FFFFFF"/>
            <w:vAlign w:val="center"/>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成本节约率</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7</w:t>
            </w:r>
          </w:p>
        </w:tc>
        <w:tc>
          <w:tcPr>
            <w:tcW w:w="874" w:type="dxa"/>
            <w:shd w:val="clear" w:color="auto" w:fill="FFFFFF"/>
            <w:vAlign w:val="top"/>
          </w:tcPr>
          <w:p>
            <w:pPr>
              <w:spacing w:line="600" w:lineRule="auto"/>
              <w:jc w:val="center"/>
              <w:rPr>
                <w:rFonts w:hint="eastAsia" w:eastAsia="宋体"/>
                <w:highlight w:val="none"/>
                <w:lang w:val="en-US" w:eastAsia="zh-CN"/>
              </w:rPr>
            </w:pPr>
            <w:r>
              <w:rPr>
                <w:rFonts w:hint="eastAsia"/>
                <w:highlight w:val="none"/>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实施效益</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项目实施所产生的效益。</w:t>
            </w:r>
          </w:p>
        </w:tc>
        <w:tc>
          <w:tcPr>
            <w:tcW w:w="990" w:type="dxa"/>
            <w:tcBorders>
              <w:left w:val="single" w:color="auto" w:sz="4" w:space="0"/>
            </w:tcBorders>
            <w:shd w:val="clear" w:color="auto" w:fill="FFFFFF"/>
            <w:vAlign w:val="top"/>
          </w:tcPr>
          <w:p>
            <w:pPr>
              <w:spacing w:line="600" w:lineRule="auto"/>
              <w:jc w:val="center"/>
              <w:rPr>
                <w:highlight w:val="none"/>
              </w:rPr>
            </w:pPr>
            <w:r>
              <w:rPr>
                <w:highlight w:val="none"/>
              </w:rPr>
              <w:t>20</w:t>
            </w:r>
          </w:p>
        </w:tc>
        <w:tc>
          <w:tcPr>
            <w:tcW w:w="874" w:type="dxa"/>
            <w:shd w:val="clear" w:color="auto" w:fill="FFFFFF"/>
            <w:vAlign w:val="top"/>
          </w:tcPr>
          <w:p>
            <w:pPr>
              <w:spacing w:line="600" w:lineRule="auto"/>
              <w:jc w:val="center"/>
              <w:rPr>
                <w:rFonts w:hint="default" w:eastAsia="宋体"/>
                <w:highlight w:val="none"/>
                <w:lang w:val="en-US" w:eastAsia="zh-CN"/>
              </w:rPr>
            </w:pPr>
            <w:r>
              <w:rPr>
                <w:rFonts w:hint="eastAsia"/>
                <w:highlight w:val="none"/>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满意度</w:t>
            </w:r>
          </w:p>
        </w:tc>
        <w:tc>
          <w:tcPr>
            <w:tcW w:w="3885" w:type="dxa"/>
            <w:tcBorders>
              <w:right w:val="single" w:color="auto" w:sz="4" w:space="0"/>
            </w:tcBorders>
            <w:shd w:val="clear" w:color="000000" w:fill="FFFFFF"/>
            <w:vAlign w:val="top"/>
          </w:tcPr>
          <w:p>
            <w:pPr>
              <w:widowControl/>
              <w:spacing w:line="0" w:lineRule="atLeast"/>
              <w:jc w:val="center"/>
              <w:rPr>
                <w:rFonts w:hint="eastAsia" w:ascii="宋体" w:hAnsi="宋体" w:cs="宋体"/>
                <w:color w:val="000000"/>
                <w:kern w:val="0"/>
                <w:sz w:val="22"/>
                <w:highlight w:val="none"/>
              </w:rPr>
            </w:pPr>
            <w:r>
              <w:rPr>
                <w:rFonts w:hint="eastAsia" w:ascii="宋体" w:hAnsi="宋体" w:cs="宋体"/>
                <w:color w:val="000000"/>
                <w:kern w:val="0"/>
                <w:sz w:val="22"/>
                <w:highlight w:val="none"/>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rPr>
                <w:highlight w:val="none"/>
              </w:rPr>
            </w:pPr>
            <w:r>
              <w:rPr>
                <w:highlight w:val="none"/>
              </w:rPr>
              <w:t>10</w:t>
            </w:r>
          </w:p>
        </w:tc>
        <w:tc>
          <w:tcPr>
            <w:tcW w:w="874" w:type="dxa"/>
            <w:shd w:val="clear" w:color="000000" w:fill="FFFFFF"/>
            <w:vAlign w:val="top"/>
          </w:tcPr>
          <w:p>
            <w:pPr>
              <w:spacing w:line="600" w:lineRule="auto"/>
              <w:jc w:val="center"/>
              <w:rPr>
                <w:rFonts w:hint="default" w:eastAsia="宋体"/>
                <w:highlight w:val="none"/>
                <w:lang w:val="en-US" w:eastAsia="zh-CN"/>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b/>
                <w:bCs/>
                <w:color w:val="000000"/>
                <w:kern w:val="0"/>
                <w:sz w:val="22"/>
                <w:highlight w:val="none"/>
              </w:rPr>
              <w:t>总分</w:t>
            </w:r>
          </w:p>
        </w:tc>
        <w:tc>
          <w:tcPr>
            <w:tcW w:w="3885" w:type="dxa"/>
            <w:tcBorders>
              <w:right w:val="single" w:color="auto" w:sz="4" w:space="0"/>
            </w:tcBorders>
            <w:shd w:val="clear" w:color="auto" w:fill="FFFFFF"/>
            <w:vAlign w:val="top"/>
          </w:tcPr>
          <w:p>
            <w:pPr>
              <w:widowControl/>
              <w:spacing w:line="0" w:lineRule="atLeast"/>
              <w:jc w:val="center"/>
              <w:rPr>
                <w:rFonts w:hint="eastAsia" w:ascii="宋体" w:hAnsi="宋体" w:cs="宋体"/>
                <w:color w:val="000000"/>
                <w:kern w:val="0"/>
                <w:sz w:val="22"/>
                <w:highlight w:val="none"/>
              </w:rPr>
            </w:pPr>
          </w:p>
        </w:tc>
        <w:tc>
          <w:tcPr>
            <w:tcW w:w="990" w:type="dxa"/>
            <w:tcBorders>
              <w:left w:val="single" w:color="auto" w:sz="4" w:space="0"/>
            </w:tcBorders>
            <w:shd w:val="clear" w:color="auto" w:fill="FFFFFF"/>
            <w:vAlign w:val="center"/>
          </w:tcPr>
          <w:p>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100</w:t>
            </w:r>
          </w:p>
        </w:tc>
        <w:tc>
          <w:tcPr>
            <w:tcW w:w="874" w:type="dxa"/>
            <w:shd w:val="clear" w:color="auto" w:fill="FFFFFF"/>
            <w:vAlign w:val="center"/>
          </w:tcPr>
          <w:p>
            <w:pPr>
              <w:widowControl/>
              <w:spacing w:line="0" w:lineRule="atLeast"/>
              <w:jc w:val="center"/>
              <w:rPr>
                <w:rFonts w:hint="default" w:ascii="宋体" w:hAnsi="宋体" w:eastAsia="宋体" w:cs="宋体"/>
                <w:color w:val="000000"/>
                <w:kern w:val="0"/>
                <w:sz w:val="22"/>
                <w:highlight w:val="none"/>
                <w:lang w:val="en-US" w:eastAsia="zh-CN"/>
              </w:rPr>
            </w:pPr>
            <w:r>
              <w:rPr>
                <w:rFonts w:hint="eastAsia" w:ascii="宋体" w:hAnsi="宋体" w:cs="宋体"/>
                <w:color w:val="000000"/>
                <w:kern w:val="0"/>
                <w:sz w:val="22"/>
                <w:highlight w:val="none"/>
                <w:lang w:val="en-US" w:eastAsia="zh-CN"/>
              </w:rPr>
              <w:t>95</w:t>
            </w:r>
          </w:p>
        </w:tc>
      </w:tr>
    </w:tbl>
    <w:p>
      <w:pPr>
        <w:rPr>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0" distR="0" simplePos="0" relativeHeight="251658240" behindDoc="1" locked="0" layoutInCell="1" allowOverlap="1">
              <wp:simplePos x="0" y="0"/>
              <wp:positionH relativeFrom="page">
                <wp:posOffset>3750945</wp:posOffset>
              </wp:positionH>
              <wp:positionV relativeFrom="page">
                <wp:posOffset>9863455</wp:posOffset>
              </wp:positionV>
              <wp:extent cx="173990" cy="73025"/>
              <wp:effectExtent l="0" t="0" r="0" b="0"/>
              <wp:wrapNone/>
              <wp:docPr id="11" name="Shape 11"/>
              <wp:cNvGraphicFramePr/>
              <a:graphic xmlns:a="http://schemas.openxmlformats.org/drawingml/2006/main">
                <a:graphicData uri="http://schemas.microsoft.com/office/word/2010/wordprocessingShape">
                  <wps:wsp>
                    <wps:cNvSpPr txBox="1"/>
                    <wps:spPr>
                      <a:xfrm>
                        <a:off x="0" y="0"/>
                        <a:ext cx="173990" cy="73025"/>
                      </a:xfrm>
                      <a:prstGeom prst="rect">
                        <a:avLst/>
                      </a:prstGeom>
                      <a:noFill/>
                      <a:ln>
                        <a:noFill/>
                      </a:ln>
                      <a:effectLst/>
                    </wps:spPr>
                    <wps:txbx>
                      <w:txbxContent>
                        <w:p>
                          <w:pPr>
                            <w:pStyle w:val="10"/>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18</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wps:txbx>
                    <wps:bodyPr wrap="none" lIns="0" tIns="0" rIns="0" bIns="0">
                      <a:spAutoFit/>
                    </wps:bodyPr>
                  </wps:wsp>
                </a:graphicData>
              </a:graphic>
            </wp:anchor>
          </w:drawing>
        </mc:Choice>
        <mc:Fallback>
          <w:pict>
            <v:shape id="Shape 11" o:spid="_x0000_s1026" o:spt="202" type="#_x0000_t202" style="position:absolute;left:0pt;margin-left:295.35pt;margin-top:776.65pt;height:5.75pt;width:13.7pt;mso-position-horizontal-relative:page;mso-position-vertical-relative:page;mso-wrap-style:none;z-index:-251658240;mso-width-relative:page;mso-height-relative:page;" filled="f" stroked="f" coordsize="21600,21600" o:gfxdata="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BQ7jSS2AAAAA0BAAAPAAAAAAAAAAEA&#10;IAAAACIAAABkcnMvZG93bnJldi54bWxQSwECFAAUAAAACACHTuJAYw/DPp0BAABIAwAADgAAAAAA&#10;AAABACAAAAAnAQAAZHJzL2Uyb0RvYy54bWxQSwUGAAAAAAYABgBZAQAANgUAAAAA&#10;">
              <v:fill on="f" focussize="0,0"/>
              <v:stroke on="f"/>
              <v:imagedata o:title=""/>
              <o:lock v:ext="edit" aspectratio="f"/>
              <v:textbox inset="0mm,0mm,0mm,0mm" style="mso-fit-shape-to-text:t;">
                <w:txbxContent>
                  <w:p>
                    <w:pPr>
                      <w:pStyle w:val="10"/>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18</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AFB85F"/>
    <w:multiLevelType w:val="singleLevel"/>
    <w:tmpl w:val="BBAFB85F"/>
    <w:lvl w:ilvl="0" w:tentative="0">
      <w:start w:val="5"/>
      <w:numFmt w:val="chineseCounting"/>
      <w:suff w:val="nothing"/>
      <w:lvlText w:val="%1、"/>
      <w:lvlJc w:val="left"/>
      <w:rPr>
        <w:rFonts w:hint="eastAsia"/>
      </w:rPr>
    </w:lvl>
  </w:abstractNum>
  <w:abstractNum w:abstractNumId="1">
    <w:nsid w:val="40400BF9"/>
    <w:multiLevelType w:val="multilevel"/>
    <w:tmpl w:val="40400BF9"/>
    <w:lvl w:ilvl="0" w:tentative="0">
      <w:start w:val="1"/>
      <w:numFmt w:val="decimal"/>
      <w:suff w:val="nothing"/>
      <w:lvlText w:val="%1、"/>
      <w:lvlJc w:val="left"/>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4453A014"/>
    <w:multiLevelType w:val="singleLevel"/>
    <w:tmpl w:val="4453A014"/>
    <w:lvl w:ilvl="0" w:tentative="0">
      <w:start w:val="5"/>
      <w:numFmt w:val="decimal"/>
      <w:suff w:val="nothing"/>
      <w:lvlText w:val="%1、"/>
      <w:lvlJc w:val="left"/>
    </w:lvl>
  </w:abstractNum>
  <w:abstractNum w:abstractNumId="3">
    <w:nsid w:val="579DA81A"/>
    <w:multiLevelType w:val="singleLevel"/>
    <w:tmpl w:val="579DA81A"/>
    <w:lvl w:ilvl="0" w:tentative="0">
      <w:start w:val="2"/>
      <w:numFmt w:val="chineseCounting"/>
      <w:suff w:val="nothing"/>
      <w:lvlText w:val="（%1）"/>
      <w:lvlJc w:val="left"/>
      <w:rPr>
        <w:rFonts w:hint="eastAsia"/>
      </w:rPr>
    </w:lvl>
  </w:abstractNum>
  <w:num w:numId="1">
    <w:abstractNumId w:val="2"/>
  </w:num>
  <w:num w:numId="2">
    <w:abstractNumId w:val="3"/>
  </w:num>
  <w:num w:numId="3">
    <w:abstractNumId w:val="1"/>
  </w:num>
  <w:num w:numId="4">
    <w:abstractNumId w:val="1"/>
    <w:lvlOverride w:ilvl="0">
      <w:startOverride w:val="4"/>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A91"/>
    <w:rsid w:val="000043E2"/>
    <w:rsid w:val="000212A7"/>
    <w:rsid w:val="0006699A"/>
    <w:rsid w:val="000D3FF4"/>
    <w:rsid w:val="00164F1B"/>
    <w:rsid w:val="00197C8B"/>
    <w:rsid w:val="00217E4B"/>
    <w:rsid w:val="00226DD0"/>
    <w:rsid w:val="002301DF"/>
    <w:rsid w:val="005257A6"/>
    <w:rsid w:val="00560DDB"/>
    <w:rsid w:val="005E4D2E"/>
    <w:rsid w:val="006200AE"/>
    <w:rsid w:val="0066376A"/>
    <w:rsid w:val="007D07AE"/>
    <w:rsid w:val="008C5F9C"/>
    <w:rsid w:val="00912713"/>
    <w:rsid w:val="009814AD"/>
    <w:rsid w:val="009A0DBA"/>
    <w:rsid w:val="00A36F50"/>
    <w:rsid w:val="00AD5F72"/>
    <w:rsid w:val="00B12990"/>
    <w:rsid w:val="00C91908"/>
    <w:rsid w:val="00CE61F8"/>
    <w:rsid w:val="00CF1A91"/>
    <w:rsid w:val="00CF6029"/>
    <w:rsid w:val="00D731D6"/>
    <w:rsid w:val="00DB04E1"/>
    <w:rsid w:val="00E70268"/>
    <w:rsid w:val="00EC4C2A"/>
    <w:rsid w:val="00EE5828"/>
    <w:rsid w:val="00EF545B"/>
    <w:rsid w:val="00F01A7A"/>
    <w:rsid w:val="00FD2D18"/>
    <w:rsid w:val="014B3FF4"/>
    <w:rsid w:val="02D24935"/>
    <w:rsid w:val="05C24D86"/>
    <w:rsid w:val="08435AFD"/>
    <w:rsid w:val="09D07F19"/>
    <w:rsid w:val="0A013762"/>
    <w:rsid w:val="0CEE4D7D"/>
    <w:rsid w:val="0D1C2875"/>
    <w:rsid w:val="0D4C2CA0"/>
    <w:rsid w:val="0DE4036E"/>
    <w:rsid w:val="0F9D4578"/>
    <w:rsid w:val="1172358F"/>
    <w:rsid w:val="11984B4D"/>
    <w:rsid w:val="12DB0702"/>
    <w:rsid w:val="13A65666"/>
    <w:rsid w:val="13DA163B"/>
    <w:rsid w:val="15D70AA4"/>
    <w:rsid w:val="15FF21F8"/>
    <w:rsid w:val="16BD6542"/>
    <w:rsid w:val="16E67311"/>
    <w:rsid w:val="19137A09"/>
    <w:rsid w:val="1C9303C8"/>
    <w:rsid w:val="1D146788"/>
    <w:rsid w:val="1F602ABC"/>
    <w:rsid w:val="202D07A9"/>
    <w:rsid w:val="209F1A90"/>
    <w:rsid w:val="21AF41E0"/>
    <w:rsid w:val="241F6850"/>
    <w:rsid w:val="25B57005"/>
    <w:rsid w:val="27D1446D"/>
    <w:rsid w:val="2BB42F0B"/>
    <w:rsid w:val="2C9B5DD4"/>
    <w:rsid w:val="30D577BB"/>
    <w:rsid w:val="316D50BB"/>
    <w:rsid w:val="36494E9E"/>
    <w:rsid w:val="37202590"/>
    <w:rsid w:val="372B79B1"/>
    <w:rsid w:val="382F43BA"/>
    <w:rsid w:val="3C280CB9"/>
    <w:rsid w:val="40D14AB1"/>
    <w:rsid w:val="423F13EF"/>
    <w:rsid w:val="42516543"/>
    <w:rsid w:val="43A061ED"/>
    <w:rsid w:val="44197EA8"/>
    <w:rsid w:val="446F43DA"/>
    <w:rsid w:val="452D5808"/>
    <w:rsid w:val="46AA587F"/>
    <w:rsid w:val="4C2234AB"/>
    <w:rsid w:val="4CE36414"/>
    <w:rsid w:val="4D1461BC"/>
    <w:rsid w:val="4DA225C0"/>
    <w:rsid w:val="4EB151DB"/>
    <w:rsid w:val="523D1F2B"/>
    <w:rsid w:val="554124EB"/>
    <w:rsid w:val="57C56868"/>
    <w:rsid w:val="57CA400F"/>
    <w:rsid w:val="57E711A1"/>
    <w:rsid w:val="58BA61E1"/>
    <w:rsid w:val="59A37C92"/>
    <w:rsid w:val="5A2259FD"/>
    <w:rsid w:val="5BA90E6D"/>
    <w:rsid w:val="5C55484D"/>
    <w:rsid w:val="5D3F67B7"/>
    <w:rsid w:val="5E2B6092"/>
    <w:rsid w:val="63423B5E"/>
    <w:rsid w:val="6448029A"/>
    <w:rsid w:val="64965D5E"/>
    <w:rsid w:val="651D3994"/>
    <w:rsid w:val="667F003C"/>
    <w:rsid w:val="67513064"/>
    <w:rsid w:val="69294DDE"/>
    <w:rsid w:val="6A0028C5"/>
    <w:rsid w:val="6CC730F8"/>
    <w:rsid w:val="706D40AE"/>
    <w:rsid w:val="70DD570C"/>
    <w:rsid w:val="71480647"/>
    <w:rsid w:val="74F57BA0"/>
    <w:rsid w:val="779156F7"/>
    <w:rsid w:val="780E53F3"/>
    <w:rsid w:val="78DE15DF"/>
    <w:rsid w:val="79D10A9E"/>
    <w:rsid w:val="7C3E1984"/>
    <w:rsid w:val="7CAD52D8"/>
    <w:rsid w:val="7E9C6E6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c 1"/>
    <w:basedOn w:val="1"/>
    <w:next w:val="1"/>
    <w:unhideWhenUsed/>
    <w:qFormat/>
    <w:uiPriority w:val="39"/>
    <w:pPr>
      <w:spacing w:before="120" w:after="120"/>
      <w:jc w:val="left"/>
    </w:pPr>
    <w:rPr>
      <w:rFonts w:ascii="Calibri" w:hAnsi="Calibri" w:cs="Calibri"/>
      <w:b/>
      <w:bCs/>
      <w:caps/>
      <w:sz w:val="20"/>
      <w:szCs w:val="20"/>
    </w:rPr>
  </w:style>
  <w:style w:type="paragraph" w:styleId="4">
    <w:name w:val="footnote text"/>
    <w:basedOn w:val="1"/>
    <w:qFormat/>
    <w:uiPriority w:val="0"/>
    <w:pPr>
      <w:snapToGrid w:val="0"/>
      <w:jc w:val="left"/>
    </w:pPr>
    <w:rPr>
      <w:sz w:val="18"/>
      <w:szCs w:val="18"/>
    </w:rPr>
  </w:style>
  <w:style w:type="character" w:styleId="7">
    <w:name w:val="Strong"/>
    <w:basedOn w:val="6"/>
    <w:qFormat/>
    <w:uiPriority w:val="0"/>
    <w:rPr>
      <w:b/>
      <w:bCs/>
    </w:rPr>
  </w:style>
  <w:style w:type="paragraph" w:customStyle="1" w:styleId="8">
    <w:name w:val="Other|1"/>
    <w:basedOn w:val="1"/>
    <w:qFormat/>
    <w:uiPriority w:val="0"/>
    <w:pPr>
      <w:widowControl w:val="0"/>
      <w:shd w:val="clear" w:color="auto" w:fill="auto"/>
      <w:spacing w:line="420" w:lineRule="auto"/>
      <w:ind w:firstLine="400"/>
    </w:pPr>
    <w:rPr>
      <w:rFonts w:ascii="宋体" w:hAnsi="宋体" w:eastAsia="宋体" w:cs="宋体"/>
      <w:sz w:val="30"/>
      <w:szCs w:val="30"/>
      <w:u w:val="none"/>
      <w:shd w:val="clear" w:color="auto" w:fill="auto"/>
      <w:lang w:val="zh-TW" w:eastAsia="zh-TW" w:bidi="zh-TW"/>
    </w:rPr>
  </w:style>
  <w:style w:type="paragraph" w:customStyle="1" w:styleId="9">
    <w:name w:val="闻政正文"/>
    <w:basedOn w:val="1"/>
    <w:qFormat/>
    <w:uiPriority w:val="99"/>
    <w:pPr>
      <w:spacing w:line="500" w:lineRule="exact"/>
      <w:ind w:firstLine="883" w:firstLineChars="200"/>
    </w:pPr>
    <w:rPr>
      <w:rFonts w:ascii="Times New Roman" w:hAnsi="Times New Roman" w:eastAsia="仿宋_GB2312" w:cs="Times New Roman"/>
      <w:kern w:val="0"/>
      <w:sz w:val="28"/>
      <w:szCs w:val="28"/>
    </w:rPr>
  </w:style>
  <w:style w:type="paragraph" w:customStyle="1" w:styleId="10">
    <w:name w:val="Header or footer|2"/>
    <w:basedOn w:val="1"/>
    <w:qFormat/>
    <w:uiPriority w:val="0"/>
    <w:pPr>
      <w:widowControl w:val="0"/>
      <w:shd w:val="clear" w:color="auto" w:fill="auto"/>
    </w:pPr>
    <w:rPr>
      <w:sz w:val="20"/>
      <w:szCs w:val="20"/>
      <w:u w:val="none"/>
      <w:shd w:val="clear" w:color="auto" w:fill="auto"/>
    </w:rPr>
  </w:style>
  <w:style w:type="paragraph" w:customStyle="1" w:styleId="11">
    <w:name w:val="Body text|1"/>
    <w:basedOn w:val="1"/>
    <w:link w:val="19"/>
    <w:qFormat/>
    <w:uiPriority w:val="0"/>
    <w:pPr>
      <w:widowControl w:val="0"/>
      <w:shd w:val="clear" w:color="auto" w:fill="auto"/>
      <w:spacing w:line="420" w:lineRule="auto"/>
      <w:ind w:firstLine="400"/>
    </w:pPr>
    <w:rPr>
      <w:rFonts w:ascii="宋体" w:hAnsi="宋体" w:eastAsia="宋体" w:cs="宋体"/>
      <w:sz w:val="30"/>
      <w:szCs w:val="30"/>
      <w:u w:val="none"/>
      <w:shd w:val="clear" w:color="auto" w:fill="auto"/>
      <w:lang w:val="zh-TW" w:eastAsia="zh-TW" w:bidi="zh-TW"/>
    </w:rPr>
  </w:style>
  <w:style w:type="paragraph" w:customStyle="1" w:styleId="12">
    <w:name w:val="Table caption|1"/>
    <w:basedOn w:val="1"/>
    <w:qFormat/>
    <w:uiPriority w:val="0"/>
    <w:pPr>
      <w:widowControl w:val="0"/>
      <w:shd w:val="clear" w:color="auto" w:fill="auto"/>
    </w:pPr>
    <w:rPr>
      <w:rFonts w:ascii="宋体" w:hAnsi="宋体" w:eastAsia="宋体" w:cs="宋体"/>
      <w:sz w:val="32"/>
      <w:szCs w:val="32"/>
      <w:u w:val="none"/>
      <w:shd w:val="clear" w:color="auto" w:fill="auto"/>
      <w:lang w:val="zh-TW" w:eastAsia="zh-TW" w:bidi="zh-TW"/>
    </w:rPr>
  </w:style>
  <w:style w:type="paragraph" w:customStyle="1" w:styleId="13">
    <w:name w:val="闻政-正文三级标题"/>
    <w:basedOn w:val="1"/>
    <w:next w:val="14"/>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paragraph" w:customStyle="1" w:styleId="14">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5">
    <w:name w:val="Body text|4"/>
    <w:basedOn w:val="1"/>
    <w:link w:val="17"/>
    <w:qFormat/>
    <w:uiPriority w:val="0"/>
    <w:pPr>
      <w:widowControl w:val="0"/>
      <w:shd w:val="clear" w:color="auto" w:fill="auto"/>
      <w:spacing w:line="600" w:lineRule="exact"/>
      <w:ind w:firstLine="360"/>
    </w:pPr>
    <w:rPr>
      <w:sz w:val="30"/>
      <w:szCs w:val="30"/>
      <w:u w:val="none"/>
      <w:shd w:val="clear" w:color="auto" w:fill="auto"/>
      <w:lang w:val="zh-TW" w:eastAsia="zh-TW" w:bidi="zh-TW"/>
    </w:rPr>
  </w:style>
  <w:style w:type="paragraph" w:customStyle="1" w:styleId="16">
    <w:name w:val="Header or footer|1"/>
    <w:basedOn w:val="1"/>
    <w:link w:val="18"/>
    <w:qFormat/>
    <w:uiPriority w:val="0"/>
    <w:pPr>
      <w:widowControl w:val="0"/>
      <w:shd w:val="clear" w:color="auto" w:fill="auto"/>
    </w:pPr>
    <w:rPr>
      <w:sz w:val="17"/>
      <w:szCs w:val="17"/>
      <w:u w:val="none"/>
      <w:shd w:val="clear" w:color="auto" w:fill="auto"/>
    </w:rPr>
  </w:style>
  <w:style w:type="character" w:customStyle="1" w:styleId="17">
    <w:name w:val="Body text|4_"/>
    <w:link w:val="15"/>
    <w:qFormat/>
    <w:uiPriority w:val="0"/>
    <w:rPr>
      <w:sz w:val="30"/>
      <w:szCs w:val="30"/>
      <w:u w:val="none"/>
      <w:shd w:val="clear" w:color="auto" w:fill="auto"/>
      <w:lang w:val="zh-TW" w:eastAsia="zh-TW" w:bidi="zh-TW"/>
    </w:rPr>
  </w:style>
  <w:style w:type="character" w:customStyle="1" w:styleId="18">
    <w:name w:val="Header or footer|1_"/>
    <w:link w:val="16"/>
    <w:qFormat/>
    <w:uiPriority w:val="0"/>
    <w:rPr>
      <w:kern w:val="2"/>
      <w:sz w:val="17"/>
      <w:szCs w:val="17"/>
    </w:rPr>
  </w:style>
  <w:style w:type="character" w:customStyle="1" w:styleId="19">
    <w:name w:val="Body text|1_"/>
    <w:link w:val="11"/>
    <w:qFormat/>
    <w:uiPriority w:val="0"/>
    <w:rPr>
      <w:rFonts w:ascii="宋体" w:hAnsi="宋体" w:cs="宋体"/>
      <w:kern w:val="2"/>
      <w:sz w:val="30"/>
      <w:szCs w:val="3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1301</Words>
  <Characters>7419</Characters>
  <Lines>61</Lines>
  <Paragraphs>17</Paragraphs>
  <TotalTime>0</TotalTime>
  <ScaleCrop>false</ScaleCrop>
  <LinksUpToDate>false</LinksUpToDate>
  <CharactersWithSpaces>8703</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2020-04-23T05:03:00Z</dcterms:created>
  <dc:creator>chenliangpingcz</dc:creator>
  <cp:lastModifiedBy>Administrator</cp:lastModifiedBy>
  <dcterms:modified xsi:type="dcterms:W3CDTF">2020-05-27T11:31:27Z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