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仿宋_GB2312" w:hAnsi="仿宋_GB2312" w:eastAsia="仿宋_GB2312" w:cs="仿宋_GB2312"/>
          <w:color w:val="auto"/>
          <w:kern w:val="0"/>
          <w:sz w:val="44"/>
          <w:szCs w:val="44"/>
        </w:rPr>
      </w:pPr>
    </w:p>
    <w:p>
      <w:pPr>
        <w:spacing w:line="560" w:lineRule="exact"/>
        <w:jc w:val="center"/>
        <w:rPr>
          <w:rFonts w:ascii="仿宋_GB2312" w:hAnsi="仿宋_GB2312" w:eastAsia="仿宋_GB2312" w:cs="仿宋_GB2312"/>
          <w:color w:val="auto"/>
          <w:kern w:val="0"/>
          <w:sz w:val="44"/>
          <w:szCs w:val="44"/>
        </w:rPr>
      </w:pPr>
    </w:p>
    <w:p>
      <w:pPr>
        <w:spacing w:line="560" w:lineRule="exact"/>
        <w:jc w:val="center"/>
        <w:rPr>
          <w:rFonts w:ascii="仿宋_GB2312" w:hAnsi="仿宋_GB2312" w:eastAsia="仿宋_GB2312" w:cs="仿宋_GB2312"/>
          <w:b/>
          <w:bCs/>
          <w:color w:val="auto"/>
          <w:kern w:val="0"/>
          <w:sz w:val="44"/>
          <w:szCs w:val="44"/>
        </w:rPr>
      </w:pPr>
      <w:r>
        <w:rPr>
          <w:rFonts w:hint="eastAsia" w:ascii="仿宋_GB2312" w:hAnsi="仿宋_GB2312" w:eastAsia="仿宋_GB2312" w:cs="仿宋_GB2312"/>
          <w:b/>
          <w:bCs/>
          <w:color w:val="auto"/>
          <w:kern w:val="0"/>
          <w:sz w:val="44"/>
          <w:szCs w:val="44"/>
        </w:rPr>
        <w:t>乌尔禾区项目支出绩效评价报告</w:t>
      </w:r>
    </w:p>
    <w:p>
      <w:pPr>
        <w:jc w:val="center"/>
        <w:rPr>
          <w:rFonts w:ascii="仿宋_GB2312" w:hAnsi="仿宋_GB2312" w:eastAsia="仿宋_GB2312" w:cs="仿宋_GB2312"/>
          <w:color w:val="auto"/>
          <w:kern w:val="0"/>
          <w:sz w:val="44"/>
          <w:szCs w:val="44"/>
        </w:rPr>
      </w:pPr>
    </w:p>
    <w:p>
      <w:pPr>
        <w:jc w:val="center"/>
        <w:rPr>
          <w:rFonts w:ascii="宋体" w:hAnsi="宋体" w:cs="Arial"/>
          <w:b/>
          <w:bCs/>
          <w:color w:val="auto"/>
          <w:sz w:val="36"/>
          <w:szCs w:val="36"/>
        </w:rPr>
      </w:pPr>
      <w:r>
        <w:rPr>
          <w:rFonts w:hint="eastAsia" w:ascii="宋体" w:hAnsi="宋体" w:cs="Arial"/>
          <w:b/>
          <w:bCs/>
          <w:color w:val="auto"/>
          <w:sz w:val="36"/>
          <w:szCs w:val="36"/>
        </w:rPr>
        <w:t>（2019年度）</w:t>
      </w:r>
    </w:p>
    <w:p>
      <w:pPr>
        <w:spacing w:line="480" w:lineRule="auto"/>
        <w:jc w:val="center"/>
        <w:rPr>
          <w:rFonts w:ascii="仿宋_GB2312" w:hAnsi="仿宋_GB2312" w:eastAsia="仿宋_GB2312" w:cs="仿宋_GB2312"/>
          <w:b/>
          <w:color w:val="auto"/>
          <w:kern w:val="0"/>
          <w:sz w:val="50"/>
          <w:szCs w:val="50"/>
          <w:lang w:bidi="en-US"/>
        </w:rPr>
      </w:pPr>
    </w:p>
    <w:p>
      <w:pPr>
        <w:spacing w:line="480" w:lineRule="auto"/>
        <w:jc w:val="center"/>
        <w:rPr>
          <w:rFonts w:ascii="仿宋_GB2312" w:hAnsi="仿宋_GB2312" w:eastAsia="仿宋_GB2312" w:cs="仿宋_GB2312"/>
          <w:b/>
          <w:color w:val="auto"/>
          <w:kern w:val="0"/>
          <w:sz w:val="50"/>
          <w:szCs w:val="50"/>
          <w:lang w:bidi="en-US"/>
        </w:rPr>
      </w:pPr>
    </w:p>
    <w:p>
      <w:pPr>
        <w:spacing w:line="480" w:lineRule="auto"/>
        <w:jc w:val="center"/>
        <w:rPr>
          <w:rFonts w:ascii="仿宋_GB2312" w:hAnsi="仿宋_GB2312" w:eastAsia="仿宋_GB2312" w:cs="仿宋_GB2312"/>
          <w:b/>
          <w:color w:val="auto"/>
          <w:kern w:val="0"/>
          <w:sz w:val="50"/>
          <w:szCs w:val="50"/>
          <w:lang w:bidi="en-US"/>
        </w:rPr>
      </w:pPr>
    </w:p>
    <w:p>
      <w:pPr>
        <w:spacing w:line="480" w:lineRule="auto"/>
        <w:jc w:val="center"/>
        <w:rPr>
          <w:rFonts w:ascii="仿宋_GB2312" w:hAnsi="仿宋_GB2312" w:eastAsia="仿宋_GB2312" w:cs="仿宋_GB2312"/>
          <w:b/>
          <w:color w:val="auto"/>
          <w:kern w:val="0"/>
          <w:sz w:val="50"/>
          <w:szCs w:val="50"/>
          <w:lang w:bidi="en-US"/>
        </w:rPr>
      </w:pPr>
    </w:p>
    <w:p>
      <w:pPr>
        <w:spacing w:line="480" w:lineRule="auto"/>
        <w:jc w:val="center"/>
        <w:rPr>
          <w:rFonts w:ascii="仿宋_GB2312" w:hAnsi="仿宋_GB2312" w:eastAsia="仿宋_GB2312" w:cs="仿宋_GB2312"/>
          <w:b/>
          <w:color w:val="auto"/>
          <w:kern w:val="0"/>
          <w:sz w:val="50"/>
          <w:szCs w:val="50"/>
          <w:lang w:bidi="en-US"/>
        </w:rPr>
      </w:pPr>
    </w:p>
    <w:p>
      <w:pPr>
        <w:spacing w:line="560" w:lineRule="exact"/>
        <w:rPr>
          <w:rFonts w:ascii="仿宋_GB2312" w:hAnsi="仿宋_GB2312" w:eastAsia="仿宋_GB2312" w:cs="仿宋_GB2312"/>
          <w:color w:val="auto"/>
          <w:kern w:val="0"/>
          <w:sz w:val="36"/>
          <w:szCs w:val="36"/>
        </w:rPr>
      </w:pPr>
      <w:r>
        <w:rPr>
          <w:rFonts w:hint="eastAsia" w:ascii="仿宋_GB2312" w:hAnsi="仿宋_GB2312" w:eastAsia="仿宋_GB2312" w:cs="仿宋_GB2312"/>
          <w:color w:val="auto"/>
          <w:kern w:val="0"/>
          <w:sz w:val="36"/>
          <w:szCs w:val="36"/>
        </w:rPr>
        <w:t>项目名称：办公设备购置经费</w:t>
      </w:r>
    </w:p>
    <w:p>
      <w:pPr>
        <w:spacing w:line="560" w:lineRule="exact"/>
        <w:rPr>
          <w:rFonts w:ascii="仿宋_GB2312" w:hAnsi="仿宋_GB2312" w:eastAsia="仿宋_GB2312" w:cs="仿宋_GB2312"/>
          <w:color w:val="auto"/>
          <w:kern w:val="0"/>
          <w:sz w:val="36"/>
          <w:szCs w:val="36"/>
        </w:rPr>
      </w:pPr>
    </w:p>
    <w:p>
      <w:pPr>
        <w:spacing w:line="560" w:lineRule="exact"/>
        <w:rPr>
          <w:rFonts w:ascii="仿宋_GB2312" w:hAnsi="仿宋_GB2312" w:eastAsia="仿宋_GB2312" w:cs="仿宋_GB2312"/>
          <w:color w:val="auto"/>
          <w:kern w:val="0"/>
          <w:sz w:val="36"/>
          <w:szCs w:val="36"/>
        </w:rPr>
      </w:pPr>
      <w:r>
        <w:rPr>
          <w:rFonts w:hint="eastAsia" w:ascii="仿宋_GB2312" w:hAnsi="仿宋_GB2312" w:eastAsia="仿宋_GB2312" w:cs="仿宋_GB2312"/>
          <w:color w:val="auto"/>
          <w:kern w:val="0"/>
          <w:sz w:val="36"/>
          <w:szCs w:val="36"/>
        </w:rPr>
        <w:t>项目单位：政协乌尔禾区委员会办公室</w:t>
      </w:r>
    </w:p>
    <w:p>
      <w:pPr>
        <w:spacing w:line="560" w:lineRule="exact"/>
        <w:rPr>
          <w:rFonts w:ascii="仿宋_GB2312" w:hAnsi="仿宋_GB2312" w:eastAsia="仿宋_GB2312" w:cs="仿宋_GB2312"/>
          <w:color w:val="auto"/>
          <w:kern w:val="0"/>
          <w:sz w:val="36"/>
          <w:szCs w:val="36"/>
        </w:rPr>
      </w:pPr>
    </w:p>
    <w:p>
      <w:pPr>
        <w:spacing w:line="560" w:lineRule="exact"/>
        <w:rPr>
          <w:rFonts w:ascii="仿宋_GB2312" w:hAnsi="仿宋_GB2312" w:eastAsia="仿宋_GB2312" w:cs="仿宋_GB2312"/>
          <w:color w:val="auto"/>
          <w:kern w:val="0"/>
          <w:sz w:val="36"/>
          <w:szCs w:val="36"/>
        </w:rPr>
      </w:pPr>
      <w:r>
        <w:rPr>
          <w:rFonts w:hint="eastAsia" w:ascii="仿宋_GB2312" w:hAnsi="仿宋_GB2312" w:eastAsia="仿宋_GB2312" w:cs="仿宋_GB2312"/>
          <w:color w:val="auto"/>
          <w:kern w:val="0"/>
          <w:sz w:val="36"/>
          <w:szCs w:val="36"/>
        </w:rPr>
        <w:t>主管部门：政协乌尔禾区委员会办公室</w:t>
      </w:r>
    </w:p>
    <w:p>
      <w:pPr>
        <w:spacing w:line="560" w:lineRule="exact"/>
        <w:rPr>
          <w:rFonts w:ascii="仿宋_GB2312" w:hAnsi="仿宋_GB2312" w:eastAsia="仿宋_GB2312" w:cs="仿宋_GB2312"/>
          <w:color w:val="auto"/>
          <w:kern w:val="0"/>
          <w:sz w:val="36"/>
          <w:szCs w:val="36"/>
        </w:rPr>
      </w:pPr>
    </w:p>
    <w:p>
      <w:pPr>
        <w:spacing w:line="560" w:lineRule="exact"/>
        <w:rPr>
          <w:rFonts w:ascii="仿宋_GB2312" w:hAnsi="仿宋_GB2312" w:eastAsia="仿宋_GB2312" w:cs="仿宋_GB2312"/>
          <w:color w:val="auto"/>
          <w:kern w:val="0"/>
          <w:sz w:val="36"/>
          <w:szCs w:val="36"/>
        </w:rPr>
      </w:pPr>
    </w:p>
    <w:p>
      <w:pPr>
        <w:rPr>
          <w:rFonts w:ascii="仿宋_GB2312" w:hAnsi="仿宋_GB2312" w:eastAsia="仿宋_GB2312" w:cs="仿宋_GB2312"/>
          <w:color w:val="auto"/>
          <w:kern w:val="0"/>
          <w:sz w:val="36"/>
          <w:szCs w:val="36"/>
        </w:rPr>
      </w:pPr>
    </w:p>
    <w:p>
      <w:pPr>
        <w:jc w:val="center"/>
        <w:rPr>
          <w:rFonts w:ascii="仿宋_GB2312" w:hAnsi="Times New Roman" w:eastAsia="仿宋_GB2312"/>
          <w:color w:val="auto"/>
          <w:sz w:val="30"/>
          <w:szCs w:val="30"/>
        </w:rPr>
      </w:pPr>
      <w:r>
        <w:rPr>
          <w:rFonts w:hint="eastAsia" w:ascii="仿宋_GB2312" w:hAnsi="Times New Roman" w:eastAsia="仿宋_GB2312"/>
          <w:color w:val="auto"/>
          <w:sz w:val="30"/>
          <w:szCs w:val="30"/>
        </w:rPr>
        <w:t>2020年4月23日</w:t>
      </w:r>
    </w:p>
    <w:p>
      <w:pPr>
        <w:rPr>
          <w:rFonts w:ascii="仿宋_GB2312" w:hAnsi="Times New Roman" w:eastAsia="仿宋_GB2312"/>
          <w:color w:val="auto"/>
          <w:sz w:val="30"/>
          <w:szCs w:val="30"/>
        </w:rPr>
      </w:pPr>
    </w:p>
    <w:p>
      <w:pPr>
        <w:rPr>
          <w:rFonts w:ascii="仿宋_GB2312" w:hAnsi="Times New Roman" w:eastAsia="仿宋_GB2312"/>
          <w:color w:val="auto"/>
          <w:sz w:val="30"/>
          <w:szCs w:val="30"/>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color w:val="auto"/>
          <w:sz w:val="32"/>
          <w:szCs w:val="32"/>
        </w:rPr>
      </w:pPr>
      <w:r>
        <w:rPr>
          <w:rFonts w:hint="eastAsia" w:ascii="黑体" w:hAnsi="黑体" w:eastAsia="黑体"/>
          <w:color w:val="auto"/>
          <w:sz w:val="32"/>
          <w:szCs w:val="32"/>
        </w:rPr>
        <w:t>一、基本情况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ascii="仿宋_GB2312" w:hAnsi="Times New Roman" w:eastAsia="仿宋_GB2312"/>
          <w:color w:val="auto"/>
          <w:sz w:val="32"/>
          <w:szCs w:val="32"/>
        </w:rPr>
      </w:pPr>
      <w:r>
        <w:rPr>
          <w:rFonts w:hint="eastAsia" w:ascii="仿宋_GB2312" w:hAnsi="Times New Roman" w:eastAsia="仿宋_GB2312"/>
          <w:color w:val="auto"/>
          <w:sz w:val="32"/>
          <w:szCs w:val="32"/>
        </w:rPr>
        <w:t>（一）项目概况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ascii="仿宋_GB2312" w:hAnsi="Times New Roman" w:eastAsia="仿宋_GB2312"/>
          <w:color w:val="auto"/>
          <w:sz w:val="32"/>
          <w:szCs w:val="32"/>
        </w:rPr>
      </w:pPr>
      <w:r>
        <w:rPr>
          <w:rFonts w:hint="eastAsia" w:ascii="仿宋_GB2312" w:hAnsi="Times New Roman" w:eastAsia="仿宋_GB2312"/>
          <w:color w:val="auto"/>
          <w:sz w:val="32"/>
          <w:szCs w:val="32"/>
        </w:rPr>
        <w:t>1、项目背景</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ascii="仿宋_GB2312" w:hAnsi="Times New Roman" w:eastAsia="仿宋_GB2312"/>
          <w:color w:val="auto"/>
          <w:sz w:val="32"/>
          <w:szCs w:val="32"/>
        </w:rPr>
      </w:pPr>
      <w:r>
        <w:rPr>
          <w:rFonts w:hint="eastAsia" w:ascii="仿宋_GB2312" w:hAnsi="Times New Roman" w:eastAsia="仿宋_GB2312"/>
          <w:color w:val="auto"/>
          <w:sz w:val="32"/>
          <w:szCs w:val="32"/>
        </w:rPr>
        <w:t>办公设备购置经费是保障政协机关工作正常运转，提高机关工作人员工作效率，更好服务委员。通过购置所必需的办公设备，更好为委员建言献策提供基础保障。</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ascii="仿宋_GB2312" w:hAnsi="Times New Roman" w:eastAsia="仿宋_GB2312"/>
          <w:color w:val="auto"/>
          <w:sz w:val="32"/>
          <w:szCs w:val="32"/>
        </w:rPr>
      </w:pPr>
      <w:r>
        <w:rPr>
          <w:rFonts w:hint="eastAsia" w:ascii="仿宋_GB2312" w:hAnsi="Times New Roman" w:eastAsia="仿宋_GB2312"/>
          <w:color w:val="auto"/>
          <w:sz w:val="32"/>
          <w:szCs w:val="32"/>
        </w:rPr>
        <w:t>2、主要内容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ascii="仿宋_GB2312" w:hAnsi="Times New Roman" w:eastAsia="仿宋_GB2312"/>
          <w:color w:val="auto"/>
          <w:sz w:val="32"/>
          <w:szCs w:val="32"/>
        </w:rPr>
      </w:pPr>
      <w:r>
        <w:rPr>
          <w:rFonts w:hint="eastAsia" w:ascii="仿宋_GB2312" w:hAnsi="Times New Roman" w:eastAsia="仿宋_GB2312"/>
          <w:color w:val="auto"/>
          <w:sz w:val="32"/>
          <w:szCs w:val="32"/>
        </w:rPr>
        <w:t>激发政协机关工作人员工作积极性，提高工作人员工作办事效率。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ascii="仿宋_GB2312" w:hAnsi="Times New Roman" w:eastAsia="仿宋_GB2312"/>
          <w:color w:val="auto"/>
          <w:sz w:val="32"/>
          <w:szCs w:val="32"/>
        </w:rPr>
      </w:pPr>
      <w:r>
        <w:rPr>
          <w:rFonts w:hint="eastAsia" w:ascii="仿宋_GB2312" w:hAnsi="Times New Roman" w:eastAsia="仿宋_GB2312"/>
          <w:color w:val="auto"/>
          <w:sz w:val="32"/>
          <w:szCs w:val="32"/>
        </w:rPr>
        <w:t>3、实施情况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ascii="仿宋_GB2312" w:hAnsi="Times New Roman" w:eastAsia="仿宋_GB2312"/>
          <w:color w:val="auto"/>
          <w:sz w:val="32"/>
          <w:szCs w:val="32"/>
        </w:rPr>
      </w:pPr>
      <w:r>
        <w:rPr>
          <w:rFonts w:hint="eastAsia" w:ascii="仿宋_GB2312" w:hAnsi="Times New Roman" w:eastAsia="仿宋_GB2312"/>
          <w:color w:val="auto"/>
          <w:sz w:val="32"/>
          <w:szCs w:val="32"/>
        </w:rPr>
        <w:t>实施主体：政协乌尔禾区委员会办公室，是区党群工作部门，为正处级单位。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ascii="仿宋_GB2312" w:hAnsi="Times New Roman" w:eastAsia="仿宋_GB2312"/>
          <w:color w:val="auto"/>
          <w:sz w:val="32"/>
          <w:szCs w:val="32"/>
        </w:rPr>
      </w:pPr>
      <w:r>
        <w:rPr>
          <w:rFonts w:hint="eastAsia" w:ascii="仿宋_GB2312" w:hAnsi="Times New Roman" w:eastAsia="仿宋_GB2312"/>
          <w:color w:val="auto"/>
          <w:sz w:val="32"/>
          <w:szCs w:val="32"/>
        </w:rPr>
        <w:t>实施时间：2019年1月—2019年12月，属于延续性项目。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ascii="仿宋_GB2312" w:hAnsi="Times New Roman" w:eastAsia="仿宋_GB2312"/>
          <w:color w:val="auto"/>
          <w:sz w:val="32"/>
          <w:szCs w:val="32"/>
        </w:rPr>
      </w:pPr>
      <w:r>
        <w:rPr>
          <w:rFonts w:hint="eastAsia" w:ascii="仿宋_GB2312" w:hAnsi="Times New Roman" w:eastAsia="仿宋_GB2312"/>
          <w:color w:val="auto"/>
          <w:sz w:val="32"/>
          <w:szCs w:val="32"/>
        </w:rPr>
        <w:t>实施结果：项目资金执行率达到了100%,结余经费0万元。项目总体目标完成100%。</w:t>
      </w:r>
    </w:p>
    <w:p>
      <w:pPr>
        <w:keepNext w:val="0"/>
        <w:keepLines w:val="0"/>
        <w:pageBreakBefore w:val="0"/>
        <w:kinsoku/>
        <w:wordWrap/>
        <w:overflowPunct/>
        <w:topLinePunct w:val="0"/>
        <w:autoSpaceDE/>
        <w:autoSpaceDN/>
        <w:bidi w:val="0"/>
        <w:adjustRightInd/>
        <w:snapToGrid/>
        <w:spacing w:line="560" w:lineRule="exact"/>
        <w:ind w:left="420" w:leftChars="200"/>
        <w:textAlignment w:val="auto"/>
        <w:outlineLvl w:val="0"/>
        <w:rPr>
          <w:rFonts w:ascii="仿宋_GB2312" w:hAnsi="Times New Roman" w:eastAsia="仿宋_GB2312"/>
          <w:color w:val="auto"/>
          <w:sz w:val="32"/>
          <w:szCs w:val="32"/>
        </w:rPr>
      </w:pPr>
      <w:r>
        <w:rPr>
          <w:rFonts w:hint="eastAsia" w:ascii="仿宋_GB2312" w:hAnsi="Times New Roman" w:eastAsia="仿宋_GB2312"/>
          <w:color w:val="auto"/>
          <w:sz w:val="32"/>
          <w:szCs w:val="32"/>
        </w:rPr>
        <w:t>4、资金投入</w:t>
      </w:r>
      <w:r>
        <w:rPr>
          <w:rFonts w:hint="eastAsia" w:ascii="仿宋_GB2312" w:eastAsia="仿宋_GB2312"/>
          <w:color w:val="auto"/>
          <w:sz w:val="32"/>
          <w:szCs w:val="32"/>
        </w:rPr>
        <w:t>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ascii="仿宋_GB2312" w:hAnsi="Times New Roman" w:eastAsia="仿宋_GB2312"/>
          <w:color w:val="auto"/>
          <w:sz w:val="32"/>
          <w:szCs w:val="32"/>
        </w:rPr>
      </w:pPr>
      <w:r>
        <w:rPr>
          <w:rFonts w:hint="eastAsia" w:ascii="仿宋_GB2312" w:hAnsi="Times New Roman" w:eastAsia="仿宋_GB2312"/>
          <w:color w:val="auto"/>
          <w:sz w:val="32"/>
          <w:szCs w:val="32"/>
        </w:rPr>
        <w:t>2019年度政协乌尔禾区委员会办公室的政协委员培训经费预算0.72万元，财政下达0.72万元，实际到位财政资金共0.72万元。</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textAlignment w:val="auto"/>
        <w:outlineLvl w:val="0"/>
        <w:rPr>
          <w:rFonts w:ascii="仿宋_GB2312" w:hAnsi="Times New Roman" w:eastAsia="仿宋_GB2312"/>
          <w:color w:val="auto"/>
          <w:sz w:val="32"/>
          <w:szCs w:val="32"/>
        </w:rPr>
      </w:pPr>
      <w:r>
        <w:rPr>
          <w:rFonts w:hint="eastAsia" w:ascii="仿宋_GB2312" w:hAnsi="Times New Roman" w:eastAsia="仿宋_GB2312"/>
          <w:color w:val="auto"/>
          <w:sz w:val="32"/>
          <w:szCs w:val="32"/>
        </w:rPr>
        <w:t>资金使用情况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ascii="仿宋_GB2312" w:hAnsi="Times New Roman" w:eastAsia="仿宋_GB2312"/>
          <w:color w:val="auto"/>
          <w:sz w:val="32"/>
          <w:szCs w:val="32"/>
        </w:rPr>
      </w:pPr>
      <w:r>
        <w:rPr>
          <w:rFonts w:hint="eastAsia" w:ascii="仿宋_GB2312" w:hAnsi="Times New Roman" w:eastAsia="仿宋_GB2312"/>
          <w:color w:val="auto"/>
          <w:sz w:val="32"/>
          <w:szCs w:val="32"/>
        </w:rPr>
        <w:t>2019年度政协乌尔禾区委员会办公室的政协委员培训经费共计0.72万元。截止2019年12月31日 ,项目实际使用资金0.72万元，全部用于购置办公设备，资金执行率达到了100%,结余经费0万元。资金使用情况如下：</w:t>
      </w:r>
    </w:p>
    <w:p>
      <w:pPr>
        <w:keepNext w:val="0"/>
        <w:keepLines w:val="0"/>
        <w:pageBreakBefore w:val="0"/>
        <w:kinsoku/>
        <w:wordWrap/>
        <w:overflowPunct/>
        <w:topLinePunct w:val="0"/>
        <w:autoSpaceDE/>
        <w:autoSpaceDN/>
        <w:bidi w:val="0"/>
        <w:adjustRightInd/>
        <w:snapToGrid/>
        <w:spacing w:line="560" w:lineRule="exact"/>
        <w:ind w:firstLine="600"/>
        <w:textAlignment w:val="auto"/>
        <w:outlineLvl w:val="0"/>
        <w:rPr>
          <w:rFonts w:ascii="仿宋_GB2312" w:hAnsi="Times New Roman" w:eastAsia="仿宋_GB2312"/>
          <w:color w:val="auto"/>
          <w:sz w:val="32"/>
          <w:szCs w:val="32"/>
        </w:rPr>
      </w:pPr>
      <w:bookmarkStart w:id="0" w:name="bookmark49"/>
      <w:bookmarkEnd w:id="0"/>
      <w:r>
        <w:rPr>
          <w:rFonts w:hint="eastAsia" w:ascii="仿宋_GB2312" w:hAnsi="Times New Roman" w:eastAsia="仿宋_GB2312"/>
          <w:color w:val="auto"/>
          <w:sz w:val="32"/>
          <w:szCs w:val="32"/>
        </w:rPr>
        <w:t>①购买电脑的成本，0.5万元；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ascii="仿宋_GB2312" w:hAnsi="Times New Roman" w:eastAsia="仿宋_GB2312"/>
          <w:color w:val="auto"/>
          <w:sz w:val="32"/>
          <w:szCs w:val="32"/>
        </w:rPr>
      </w:pPr>
      <w:r>
        <w:rPr>
          <w:rFonts w:hint="eastAsia" w:ascii="仿宋_GB2312" w:hAnsi="Times New Roman" w:eastAsia="仿宋_GB2312"/>
          <w:color w:val="auto"/>
          <w:sz w:val="32"/>
          <w:szCs w:val="32"/>
        </w:rPr>
        <w:t>②购买碎纸机的成本，0.22万元。</w:t>
      </w:r>
    </w:p>
    <w:p>
      <w:pPr>
        <w:keepNext w:val="0"/>
        <w:keepLines w:val="0"/>
        <w:pageBreakBefore w:val="0"/>
        <w:numPr>
          <w:ilvl w:val="0"/>
          <w:numId w:val="2"/>
        </w:numPr>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olor w:val="auto"/>
          <w:sz w:val="32"/>
          <w:szCs w:val="32"/>
        </w:rPr>
      </w:pPr>
      <w:bookmarkStart w:id="1" w:name="bookmark53"/>
      <w:bookmarkEnd w:id="1"/>
      <w:bookmarkStart w:id="2" w:name="bookmark50"/>
      <w:bookmarkEnd w:id="2"/>
      <w:r>
        <w:rPr>
          <w:rFonts w:hint="eastAsia" w:ascii="仿宋_GB2312" w:hAnsi="Times New Roman" w:eastAsia="仿宋_GB2312"/>
          <w:color w:val="auto"/>
          <w:sz w:val="32"/>
          <w:szCs w:val="32"/>
        </w:rPr>
        <w:t>项目绩效目标</w:t>
      </w:r>
    </w:p>
    <w:p>
      <w:pPr>
        <w:keepNext w:val="0"/>
        <w:keepLines w:val="0"/>
        <w:pageBreakBefore w:val="0"/>
        <w:numPr>
          <w:ilvl w:val="0"/>
          <w:numId w:val="3"/>
        </w:numPr>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olor w:val="auto"/>
          <w:sz w:val="32"/>
          <w:szCs w:val="32"/>
        </w:rPr>
      </w:pPr>
      <w:r>
        <w:rPr>
          <w:rFonts w:hint="eastAsia" w:ascii="仿宋_GB2312" w:hAnsi="Times New Roman" w:eastAsia="仿宋_GB2312"/>
          <w:color w:val="auto"/>
          <w:sz w:val="32"/>
          <w:szCs w:val="32"/>
        </w:rPr>
        <w:t>总体目标</w:t>
      </w:r>
    </w:p>
    <w:p>
      <w:pPr>
        <w:keepNext w:val="0"/>
        <w:keepLines w:val="0"/>
        <w:pageBreakBefore w:val="0"/>
        <w:kinsoku/>
        <w:wordWrap/>
        <w:overflowPunct/>
        <w:topLinePunct w:val="0"/>
        <w:autoSpaceDE/>
        <w:autoSpaceDN/>
        <w:bidi w:val="0"/>
        <w:adjustRightInd/>
        <w:snapToGrid/>
        <w:spacing w:line="560" w:lineRule="exact"/>
        <w:ind w:firstLine="585"/>
        <w:textAlignment w:val="auto"/>
        <w:rPr>
          <w:rFonts w:ascii="仿宋_GB2312" w:hAnsi="Times New Roman" w:eastAsia="仿宋_GB2312"/>
          <w:color w:val="auto"/>
          <w:sz w:val="32"/>
          <w:szCs w:val="32"/>
        </w:rPr>
      </w:pPr>
      <w:r>
        <w:rPr>
          <w:rFonts w:hint="eastAsia" w:ascii="仿宋_GB2312" w:hAnsi="Times New Roman" w:eastAsia="仿宋_GB2312"/>
          <w:color w:val="auto"/>
          <w:sz w:val="32"/>
          <w:szCs w:val="32"/>
        </w:rPr>
        <w:t>通过持续加大购置必需办公设备投入，激发机关工作人员工作积极性，提高工作效率，促进政协机关工作扎实开展，更好为委员和我区经济社会可持续发展服务。</w:t>
      </w:r>
    </w:p>
    <w:p>
      <w:pPr>
        <w:keepNext w:val="0"/>
        <w:keepLines w:val="0"/>
        <w:pageBreakBefore w:val="0"/>
        <w:numPr>
          <w:ilvl w:val="0"/>
          <w:numId w:val="3"/>
        </w:numPr>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olor w:val="auto"/>
          <w:sz w:val="32"/>
          <w:szCs w:val="32"/>
        </w:rPr>
      </w:pPr>
      <w:r>
        <w:rPr>
          <w:rFonts w:hint="eastAsia" w:ascii="仿宋_GB2312" w:hAnsi="Times New Roman" w:eastAsia="仿宋_GB2312"/>
          <w:color w:val="auto"/>
          <w:sz w:val="32"/>
          <w:szCs w:val="32"/>
        </w:rPr>
        <w:t>阶段性目标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olor w:val="auto"/>
          <w:sz w:val="32"/>
          <w:szCs w:val="32"/>
        </w:rPr>
      </w:pPr>
      <w:r>
        <w:rPr>
          <w:rFonts w:hint="eastAsia" w:ascii="仿宋_GB2312" w:hAnsi="Times New Roman" w:eastAsia="仿宋_GB2312"/>
          <w:color w:val="auto"/>
          <w:sz w:val="32"/>
          <w:szCs w:val="32"/>
        </w:rPr>
        <w:t>2019年完成购买电脑1台，购买碎纸机2台。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color w:val="auto"/>
          <w:sz w:val="32"/>
          <w:szCs w:val="32"/>
        </w:rPr>
      </w:pPr>
      <w:r>
        <w:rPr>
          <w:rFonts w:hint="eastAsia" w:ascii="黑体" w:hAnsi="黑体" w:eastAsia="黑体"/>
          <w:color w:val="auto"/>
          <w:sz w:val="32"/>
          <w:szCs w:val="32"/>
        </w:rPr>
        <w:t>二、绩效评价工作开展情况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olor w:val="auto"/>
          <w:sz w:val="32"/>
          <w:szCs w:val="32"/>
        </w:rPr>
      </w:pPr>
      <w:r>
        <w:rPr>
          <w:rFonts w:hint="eastAsia" w:ascii="仿宋_GB2312" w:hAnsi="Times New Roman" w:eastAsia="仿宋_GB2312"/>
          <w:color w:val="auto"/>
          <w:sz w:val="32"/>
          <w:szCs w:val="32"/>
        </w:rPr>
        <w:t>（一）绩效评价目的、对象和范围。</w:t>
      </w:r>
    </w:p>
    <w:p>
      <w:pPr>
        <w:pStyle w:val="16"/>
        <w:keepNext w:val="0"/>
        <w:keepLines w:val="0"/>
        <w:pageBreakBefore w:val="0"/>
        <w:kinsoku/>
        <w:wordWrap/>
        <w:overflowPunct/>
        <w:topLinePunct w:val="0"/>
        <w:autoSpaceDE/>
        <w:autoSpaceDN/>
        <w:bidi w:val="0"/>
        <w:adjustRightInd/>
        <w:snapToGrid/>
        <w:spacing w:line="560" w:lineRule="exact"/>
        <w:ind w:firstLine="600"/>
        <w:textAlignment w:val="auto"/>
        <w:rPr>
          <w:rFonts w:ascii="仿宋_GB2312"/>
          <w:color w:val="auto"/>
          <w:sz w:val="32"/>
          <w:szCs w:val="32"/>
        </w:rPr>
      </w:pPr>
      <w:r>
        <w:rPr>
          <w:rFonts w:hint="eastAsia" w:ascii="仿宋_GB2312"/>
          <w:color w:val="auto"/>
          <w:sz w:val="32"/>
          <w:szCs w:val="32"/>
        </w:rPr>
        <w:t>1、绩效评价目的</w:t>
      </w:r>
    </w:p>
    <w:p>
      <w:pPr>
        <w:pStyle w:val="14"/>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Times New Roman" w:eastAsia="仿宋_GB2312" w:cs="Times New Roman"/>
          <w:color w:val="auto"/>
          <w:sz w:val="32"/>
          <w:szCs w:val="32"/>
          <w:lang w:val="en-US" w:eastAsia="zh-CN" w:bidi="ar-SA"/>
        </w:rPr>
      </w:pPr>
      <w:r>
        <w:rPr>
          <w:rFonts w:hint="eastAsia" w:ascii="仿宋_GB2312" w:hAnsi="Times New Roman" w:eastAsia="仿宋_GB2312" w:cs="Times New Roman"/>
          <w:color w:val="auto"/>
          <w:sz w:val="32"/>
          <w:szCs w:val="32"/>
          <w:lang w:val="en-US" w:eastAsia="zh-CN" w:bidi="ar-SA"/>
        </w:rPr>
        <w:t>通过绩效评价，客观地评判项目的管理绩效，了解和掌握2019年办公设备购置经费的具体情况，评价该项目资金安排的科学性、合理性、规范性和资金的使用成效，及时总结项目管理经验，完善项目管理办法，提高项目管理水平和资金使用效益。促使项目承担单位根据绩效评价中发现的问题，认真加以整改，及时调整和完善单位的工作计划和绩效目标并加强项目管理，提高管理水平，同时为项目后续资金投入、分配和管理提供决策依据。</w:t>
      </w:r>
    </w:p>
    <w:p>
      <w:pPr>
        <w:pStyle w:val="14"/>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Times New Roman" w:eastAsia="仿宋_GB2312" w:cs="Times New Roman"/>
          <w:color w:val="auto"/>
          <w:sz w:val="32"/>
          <w:szCs w:val="32"/>
          <w:lang w:val="en-US" w:eastAsia="zh-CN" w:bidi="ar-SA"/>
        </w:rPr>
      </w:pPr>
      <w:r>
        <w:rPr>
          <w:rFonts w:hint="eastAsia" w:ascii="仿宋_GB2312" w:hAnsi="Times New Roman" w:eastAsia="仿宋_GB2312" w:cs="Times New Roman"/>
          <w:color w:val="auto"/>
          <w:sz w:val="32"/>
          <w:szCs w:val="32"/>
          <w:lang w:val="en-US" w:eastAsia="zh-CN" w:bidi="ar-SA"/>
        </w:rPr>
        <w:t>同时将绩效评价结果与项目预算挂钩，为下年度该项经费的使用提供决策参考，进一步提高该项经费的使用效益及配置效率，实现财政资源配置效益与效率最大化。</w:t>
      </w:r>
    </w:p>
    <w:p>
      <w:pPr>
        <w:pStyle w:val="16"/>
        <w:keepNext w:val="0"/>
        <w:keepLines w:val="0"/>
        <w:pageBreakBefore w:val="0"/>
        <w:kinsoku/>
        <w:wordWrap/>
        <w:overflowPunct/>
        <w:topLinePunct w:val="0"/>
        <w:autoSpaceDE/>
        <w:autoSpaceDN/>
        <w:bidi w:val="0"/>
        <w:adjustRightInd/>
        <w:snapToGrid/>
        <w:spacing w:line="560" w:lineRule="exact"/>
        <w:ind w:left="420" w:leftChars="200" w:firstLine="0" w:firstLineChars="0"/>
        <w:textAlignment w:val="auto"/>
        <w:rPr>
          <w:rFonts w:ascii="仿宋_GB2312"/>
          <w:color w:val="auto"/>
          <w:sz w:val="32"/>
          <w:szCs w:val="32"/>
        </w:rPr>
      </w:pPr>
      <w:r>
        <w:rPr>
          <w:rFonts w:hint="eastAsia" w:ascii="仿宋_GB2312"/>
          <w:color w:val="auto"/>
          <w:sz w:val="32"/>
          <w:szCs w:val="32"/>
        </w:rPr>
        <w:t>2、绩效评价对象</w:t>
      </w:r>
    </w:p>
    <w:p>
      <w:pPr>
        <w:pStyle w:val="16"/>
        <w:keepNext w:val="0"/>
        <w:keepLines w:val="0"/>
        <w:pageBreakBefore w:val="0"/>
        <w:kinsoku/>
        <w:wordWrap/>
        <w:overflowPunct/>
        <w:topLinePunct w:val="0"/>
        <w:autoSpaceDE/>
        <w:autoSpaceDN/>
        <w:bidi w:val="0"/>
        <w:adjustRightInd/>
        <w:snapToGrid/>
        <w:spacing w:line="560" w:lineRule="exact"/>
        <w:ind w:firstLine="600"/>
        <w:textAlignment w:val="auto"/>
        <w:rPr>
          <w:rFonts w:ascii="仿宋_GB2312"/>
          <w:color w:val="auto"/>
          <w:kern w:val="2"/>
          <w:sz w:val="32"/>
          <w:szCs w:val="32"/>
        </w:rPr>
      </w:pPr>
      <w:r>
        <w:rPr>
          <w:rFonts w:hint="eastAsia" w:ascii="仿宋_GB2312"/>
          <w:color w:val="auto"/>
          <w:kern w:val="2"/>
          <w:sz w:val="32"/>
          <w:szCs w:val="32"/>
        </w:rPr>
        <w:t>对</w:t>
      </w:r>
      <w:r>
        <w:rPr>
          <w:rFonts w:hint="eastAsia" w:ascii="仿宋_GB2312"/>
          <w:color w:val="auto"/>
          <w:sz w:val="32"/>
          <w:szCs w:val="32"/>
        </w:rPr>
        <w:t>办公设备购置经费</w:t>
      </w:r>
      <w:r>
        <w:rPr>
          <w:rFonts w:hint="eastAsia" w:ascii="仿宋_GB2312"/>
          <w:color w:val="auto"/>
          <w:kern w:val="2"/>
          <w:sz w:val="32"/>
          <w:szCs w:val="32"/>
        </w:rPr>
        <w:t>从预算编制合理性、资金使用合规性、项目管理的规范性、实施情况、总体绩效目标、各项绩效指标完成情况以及预算执行情况进行科学性评价。</w:t>
      </w:r>
    </w:p>
    <w:p>
      <w:pPr>
        <w:pStyle w:val="16"/>
        <w:keepNext w:val="0"/>
        <w:keepLines w:val="0"/>
        <w:pageBreakBefore w:val="0"/>
        <w:kinsoku/>
        <w:wordWrap/>
        <w:overflowPunct/>
        <w:topLinePunct w:val="0"/>
        <w:autoSpaceDE/>
        <w:autoSpaceDN/>
        <w:bidi w:val="0"/>
        <w:adjustRightInd/>
        <w:snapToGrid/>
        <w:spacing w:line="560" w:lineRule="exact"/>
        <w:ind w:left="420" w:leftChars="200" w:firstLine="0" w:firstLineChars="0"/>
        <w:textAlignment w:val="auto"/>
        <w:rPr>
          <w:rFonts w:ascii="仿宋_GB2312"/>
          <w:color w:val="auto"/>
          <w:sz w:val="32"/>
          <w:szCs w:val="32"/>
        </w:rPr>
      </w:pPr>
      <w:r>
        <w:rPr>
          <w:rFonts w:hint="eastAsia" w:ascii="仿宋_GB2312"/>
          <w:color w:val="auto"/>
          <w:sz w:val="32"/>
          <w:szCs w:val="32"/>
        </w:rPr>
        <w:t>3、绩效评价范围</w:t>
      </w:r>
    </w:p>
    <w:p>
      <w:pPr>
        <w:pStyle w:val="16"/>
        <w:keepNext w:val="0"/>
        <w:keepLines w:val="0"/>
        <w:pageBreakBefore w:val="0"/>
        <w:kinsoku/>
        <w:wordWrap/>
        <w:overflowPunct/>
        <w:topLinePunct w:val="0"/>
        <w:autoSpaceDE/>
        <w:autoSpaceDN/>
        <w:bidi w:val="0"/>
        <w:adjustRightInd/>
        <w:snapToGrid/>
        <w:spacing w:line="560" w:lineRule="exact"/>
        <w:ind w:firstLine="800" w:firstLineChars="250"/>
        <w:textAlignment w:val="auto"/>
        <w:rPr>
          <w:rFonts w:ascii="仿宋_GB2312"/>
          <w:color w:val="auto"/>
          <w:kern w:val="2"/>
          <w:sz w:val="32"/>
          <w:szCs w:val="32"/>
        </w:rPr>
      </w:pPr>
      <w:r>
        <w:rPr>
          <w:rFonts w:hint="eastAsia" w:ascii="仿宋_GB2312"/>
          <w:color w:val="auto"/>
          <w:kern w:val="2"/>
          <w:sz w:val="32"/>
          <w:szCs w:val="32"/>
        </w:rPr>
        <w:t>本次评价从项目决策（包括绩效目标、决策过程）、项目管理（包括项目资金、项目实施）、项目产出（包括项目产出数量、产出质量、产出时效和产出成本）项目效益四个维度进行评价，评价对象为财政下达预算绩效管理信息化系统建设项目，评价核心为该项目经费的支出完成情况和效果。</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olor w:val="auto"/>
          <w:sz w:val="32"/>
          <w:szCs w:val="32"/>
        </w:rPr>
      </w:pPr>
      <w:r>
        <w:rPr>
          <w:rFonts w:hint="eastAsia" w:ascii="仿宋_GB2312" w:hAnsi="Times New Roman" w:eastAsia="仿宋_GB2312"/>
          <w:color w:val="auto"/>
          <w:sz w:val="32"/>
          <w:szCs w:val="32"/>
        </w:rPr>
        <w:t>（二）绩效评价原则、评价指标体系（附表说明）、评价方法、评价标准等。</w:t>
      </w:r>
    </w:p>
    <w:p>
      <w:pPr>
        <w:keepNext w:val="0"/>
        <w:keepLines w:val="0"/>
        <w:pageBreakBefore w:val="0"/>
        <w:kinsoku/>
        <w:wordWrap/>
        <w:overflowPunct/>
        <w:topLinePunct w:val="0"/>
        <w:autoSpaceDE/>
        <w:autoSpaceDN/>
        <w:bidi w:val="0"/>
        <w:adjustRightInd/>
        <w:snapToGrid/>
        <w:spacing w:line="560" w:lineRule="exact"/>
        <w:ind w:firstLine="585"/>
        <w:textAlignment w:val="auto"/>
        <w:rPr>
          <w:rFonts w:ascii="仿宋_GB2312" w:hAnsi="Times New Roman" w:eastAsia="仿宋_GB2312"/>
          <w:color w:val="auto"/>
          <w:sz w:val="32"/>
          <w:szCs w:val="32"/>
        </w:rPr>
      </w:pPr>
      <w:r>
        <w:rPr>
          <w:rFonts w:hint="eastAsia" w:ascii="Times New Roman" w:hAnsi="Times New Roman" w:eastAsia="仿宋_GB2312"/>
          <w:color w:val="auto"/>
          <w:sz w:val="32"/>
          <w:szCs w:val="32"/>
        </w:rPr>
        <w:t>1、</w:t>
      </w:r>
      <w:r>
        <w:rPr>
          <w:rFonts w:hint="eastAsia" w:ascii="仿宋_GB2312" w:hAnsi="Times New Roman" w:eastAsia="仿宋_GB2312"/>
          <w:color w:val="auto"/>
          <w:sz w:val="32"/>
          <w:szCs w:val="32"/>
        </w:rPr>
        <w:t>绩效评价原则</w:t>
      </w:r>
    </w:p>
    <w:p>
      <w:pPr>
        <w:pStyle w:val="14"/>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Times New Roman" w:eastAsia="仿宋_GB2312" w:cs="Times New Roman"/>
          <w:color w:val="auto"/>
          <w:sz w:val="32"/>
          <w:szCs w:val="32"/>
          <w:lang w:val="en-US" w:eastAsia="zh-CN" w:bidi="ar-SA"/>
        </w:rPr>
      </w:pPr>
      <w:r>
        <w:rPr>
          <w:rFonts w:ascii="仿宋_GB2312" w:hAnsi="Times New Roman" w:eastAsia="仿宋_GB2312" w:cs="Times New Roman"/>
          <w:color w:val="auto"/>
          <w:sz w:val="32"/>
          <w:szCs w:val="32"/>
          <w:lang w:val="en-US" w:eastAsia="zh-CN" w:bidi="ar-SA"/>
        </w:rPr>
        <w:t>坚持真实、科学、公正的原则。绩效评价应当严格执行规定的程序，按照科学可行的要求，采用定量与定性分析相结合的方法；绩效评价应当符合真实、客观、公正的要求，依法公开并接受监督。</w:t>
      </w:r>
    </w:p>
    <w:p>
      <w:pPr>
        <w:pStyle w:val="14"/>
        <w:keepNext w:val="0"/>
        <w:keepLines w:val="0"/>
        <w:pageBreakBefore w:val="0"/>
        <w:tabs>
          <w:tab w:val="left" w:pos="1123"/>
        </w:tabs>
        <w:kinsoku/>
        <w:wordWrap/>
        <w:overflowPunct/>
        <w:topLinePunct w:val="0"/>
        <w:autoSpaceDE/>
        <w:autoSpaceDN/>
        <w:bidi w:val="0"/>
        <w:adjustRightInd/>
        <w:snapToGrid/>
        <w:spacing w:line="560" w:lineRule="exact"/>
        <w:ind w:firstLine="640"/>
        <w:textAlignment w:val="auto"/>
        <w:rPr>
          <w:rFonts w:ascii="仿宋_GB2312" w:hAnsi="Times New Roman" w:eastAsia="仿宋_GB2312" w:cs="Times New Roman"/>
          <w:color w:val="auto"/>
          <w:sz w:val="32"/>
          <w:szCs w:val="32"/>
          <w:lang w:val="en-US" w:eastAsia="zh-CN" w:bidi="ar-SA"/>
        </w:rPr>
      </w:pPr>
      <w:r>
        <w:rPr>
          <w:rFonts w:ascii="仿宋_GB2312" w:hAnsi="Times New Roman" w:eastAsia="仿宋_GB2312" w:cs="Times New Roman"/>
          <w:color w:val="auto"/>
          <w:sz w:val="32"/>
          <w:szCs w:val="32"/>
          <w:lang w:val="en-US" w:eastAsia="zh-CN" w:bidi="ar-SA"/>
        </w:rPr>
        <w:t>（</w:t>
      </w:r>
      <w:r>
        <w:rPr>
          <w:rFonts w:hint="eastAsia" w:ascii="仿宋_GB2312" w:hAnsi="Times New Roman" w:eastAsia="仿宋_GB2312" w:cs="Times New Roman"/>
          <w:color w:val="auto"/>
          <w:sz w:val="32"/>
          <w:szCs w:val="32"/>
          <w:lang w:val="en-US" w:eastAsia="zh-CN" w:bidi="ar-SA"/>
        </w:rPr>
        <w:t>1</w:t>
      </w:r>
      <w:r>
        <w:rPr>
          <w:rFonts w:ascii="仿宋_GB2312" w:hAnsi="Times New Roman" w:eastAsia="仿宋_GB2312" w:cs="Times New Roman"/>
          <w:color w:val="auto"/>
          <w:sz w:val="32"/>
          <w:szCs w:val="32"/>
          <w:lang w:val="en-US" w:eastAsia="zh-CN" w:bidi="ar-SA"/>
        </w:rPr>
        <w:t>）普遍性原则：应符合政协乌尔禾区委员会办公室的工作性质和要求，具有普遍的适用性。</w:t>
      </w:r>
    </w:p>
    <w:p>
      <w:pPr>
        <w:pStyle w:val="14"/>
        <w:keepNext w:val="0"/>
        <w:keepLines w:val="0"/>
        <w:pageBreakBefore w:val="0"/>
        <w:tabs>
          <w:tab w:val="left" w:pos="1123"/>
        </w:tabs>
        <w:kinsoku/>
        <w:wordWrap/>
        <w:overflowPunct/>
        <w:topLinePunct w:val="0"/>
        <w:autoSpaceDE/>
        <w:autoSpaceDN/>
        <w:bidi w:val="0"/>
        <w:adjustRightInd/>
        <w:snapToGrid/>
        <w:spacing w:line="560" w:lineRule="exact"/>
        <w:ind w:firstLine="640"/>
        <w:textAlignment w:val="auto"/>
        <w:rPr>
          <w:rFonts w:ascii="仿宋_GB2312" w:hAnsi="Times New Roman" w:eastAsia="仿宋_GB2312" w:cs="Times New Roman"/>
          <w:color w:val="auto"/>
          <w:sz w:val="32"/>
          <w:szCs w:val="32"/>
          <w:lang w:val="en-US" w:eastAsia="zh-CN" w:bidi="ar-SA"/>
        </w:rPr>
      </w:pPr>
      <w:r>
        <w:rPr>
          <w:rFonts w:ascii="仿宋_GB2312" w:hAnsi="Times New Roman" w:eastAsia="仿宋_GB2312" w:cs="Times New Roman"/>
          <w:color w:val="auto"/>
          <w:sz w:val="32"/>
          <w:szCs w:val="32"/>
          <w:lang w:val="en-US" w:eastAsia="zh-CN" w:bidi="ar-SA"/>
        </w:rPr>
        <w:t>（</w:t>
      </w:r>
      <w:r>
        <w:rPr>
          <w:rFonts w:hint="eastAsia" w:ascii="仿宋_GB2312" w:hAnsi="Times New Roman" w:eastAsia="仿宋_GB2312" w:cs="Times New Roman"/>
          <w:color w:val="auto"/>
          <w:sz w:val="32"/>
          <w:szCs w:val="32"/>
          <w:lang w:val="en-US" w:eastAsia="zh-CN" w:bidi="ar-SA"/>
        </w:rPr>
        <w:t>2</w:t>
      </w:r>
      <w:r>
        <w:rPr>
          <w:rFonts w:ascii="仿宋_GB2312" w:hAnsi="Times New Roman" w:eastAsia="仿宋_GB2312" w:cs="Times New Roman"/>
          <w:color w:val="auto"/>
          <w:sz w:val="32"/>
          <w:szCs w:val="32"/>
          <w:lang w:val="en-US" w:eastAsia="zh-CN" w:bidi="ar-SA"/>
        </w:rPr>
        <w:t>）经济实用原则：依据现实条件及可操作性，获得相关数据的成本，避免由于数据搜集复杂或者分布广泛而导致绩效评价费用过高，力求简便易行，便于理解和操作，节约评价工作成本。</w:t>
      </w:r>
    </w:p>
    <w:p>
      <w:pPr>
        <w:pStyle w:val="14"/>
        <w:keepNext w:val="0"/>
        <w:keepLines w:val="0"/>
        <w:pageBreakBefore w:val="0"/>
        <w:tabs>
          <w:tab w:val="left" w:pos="1123"/>
        </w:tabs>
        <w:kinsoku/>
        <w:wordWrap/>
        <w:overflowPunct/>
        <w:topLinePunct w:val="0"/>
        <w:autoSpaceDE/>
        <w:autoSpaceDN/>
        <w:bidi w:val="0"/>
        <w:adjustRightInd/>
        <w:snapToGrid/>
        <w:spacing w:line="560" w:lineRule="exact"/>
        <w:ind w:firstLine="640"/>
        <w:textAlignment w:val="auto"/>
        <w:rPr>
          <w:rFonts w:ascii="仿宋_GB2312" w:hAnsi="Times New Roman" w:eastAsia="仿宋_GB2312" w:cs="Times New Roman"/>
          <w:color w:val="auto"/>
          <w:sz w:val="32"/>
          <w:szCs w:val="32"/>
          <w:lang w:val="en-US" w:eastAsia="zh-CN" w:bidi="ar-SA"/>
        </w:rPr>
      </w:pPr>
      <w:r>
        <w:rPr>
          <w:rFonts w:ascii="仿宋_GB2312" w:hAnsi="Times New Roman" w:eastAsia="仿宋_GB2312" w:cs="Times New Roman"/>
          <w:color w:val="auto"/>
          <w:sz w:val="32"/>
          <w:szCs w:val="32"/>
          <w:lang w:val="en-US" w:eastAsia="zh-CN" w:bidi="ar-SA"/>
        </w:rPr>
        <w:t>（</w:t>
      </w:r>
      <w:r>
        <w:rPr>
          <w:rFonts w:hint="eastAsia" w:ascii="仿宋_GB2312" w:hAnsi="Times New Roman" w:eastAsia="仿宋_GB2312" w:cs="Times New Roman"/>
          <w:color w:val="auto"/>
          <w:sz w:val="32"/>
          <w:szCs w:val="32"/>
          <w:lang w:val="en-US" w:eastAsia="zh-CN" w:bidi="ar-SA"/>
        </w:rPr>
        <w:t>3</w:t>
      </w:r>
      <w:r>
        <w:rPr>
          <w:rFonts w:ascii="仿宋_GB2312" w:hAnsi="Times New Roman" w:eastAsia="仿宋_GB2312" w:cs="Times New Roman"/>
          <w:color w:val="auto"/>
          <w:sz w:val="32"/>
          <w:szCs w:val="32"/>
          <w:lang w:val="en-US" w:eastAsia="zh-CN" w:bidi="ar-SA"/>
        </w:rPr>
        <w:t>）适量原则：要科学、准确、合理，绩效目标不能过高过低，脱离免费开放工作实际。</w:t>
      </w:r>
    </w:p>
    <w:p>
      <w:pPr>
        <w:pStyle w:val="14"/>
        <w:keepNext w:val="0"/>
        <w:keepLines w:val="0"/>
        <w:pageBreakBefore w:val="0"/>
        <w:tabs>
          <w:tab w:val="left" w:pos="1123"/>
        </w:tabs>
        <w:kinsoku/>
        <w:wordWrap/>
        <w:overflowPunct/>
        <w:topLinePunct w:val="0"/>
        <w:autoSpaceDE/>
        <w:autoSpaceDN/>
        <w:bidi w:val="0"/>
        <w:adjustRightInd/>
        <w:snapToGrid/>
        <w:spacing w:line="560" w:lineRule="exact"/>
        <w:ind w:firstLine="640"/>
        <w:textAlignment w:val="auto"/>
        <w:rPr>
          <w:rFonts w:ascii="仿宋_GB2312" w:hAnsi="Times New Roman" w:eastAsia="仿宋_GB2312" w:cs="Times New Roman"/>
          <w:color w:val="auto"/>
          <w:sz w:val="32"/>
          <w:szCs w:val="32"/>
          <w:lang w:val="en-US" w:eastAsia="zh-CN" w:bidi="ar-SA"/>
        </w:rPr>
      </w:pPr>
      <w:r>
        <w:rPr>
          <w:rFonts w:ascii="仿宋_GB2312" w:hAnsi="Times New Roman" w:eastAsia="仿宋_GB2312" w:cs="Times New Roman"/>
          <w:color w:val="auto"/>
          <w:sz w:val="32"/>
          <w:szCs w:val="32"/>
          <w:lang w:val="en-US" w:eastAsia="zh-CN" w:bidi="ar-SA"/>
        </w:rPr>
        <w:t>（</w:t>
      </w:r>
      <w:r>
        <w:rPr>
          <w:rFonts w:hint="eastAsia" w:ascii="仿宋_GB2312" w:hAnsi="Times New Roman" w:eastAsia="仿宋_GB2312" w:cs="Times New Roman"/>
          <w:color w:val="auto"/>
          <w:sz w:val="32"/>
          <w:szCs w:val="32"/>
          <w:lang w:val="en-US" w:eastAsia="zh-CN" w:bidi="ar-SA"/>
        </w:rPr>
        <w:t>4</w:t>
      </w:r>
      <w:r>
        <w:rPr>
          <w:rFonts w:ascii="仿宋_GB2312" w:hAnsi="Times New Roman" w:eastAsia="仿宋_GB2312" w:cs="Times New Roman"/>
          <w:color w:val="auto"/>
          <w:sz w:val="32"/>
          <w:szCs w:val="32"/>
          <w:lang w:val="en-US" w:eastAsia="zh-CN" w:bidi="ar-SA"/>
        </w:rPr>
        <w:t>）重要性原则：在选择指标的过程中，要根据指标在整个绩效评价体系中的地位和作用进行筛选，选择最具代表性、最能反映评价要求的指标。</w:t>
      </w:r>
    </w:p>
    <w:p>
      <w:pPr>
        <w:pStyle w:val="14"/>
        <w:keepNext w:val="0"/>
        <w:keepLines w:val="0"/>
        <w:pageBreakBefore w:val="0"/>
        <w:tabs>
          <w:tab w:val="left" w:pos="483"/>
        </w:tabs>
        <w:kinsoku/>
        <w:wordWrap/>
        <w:overflowPunct/>
        <w:topLinePunct w:val="0"/>
        <w:autoSpaceDE/>
        <w:autoSpaceDN/>
        <w:bidi w:val="0"/>
        <w:adjustRightInd/>
        <w:snapToGrid/>
        <w:spacing w:line="560" w:lineRule="exact"/>
        <w:ind w:firstLine="640"/>
        <w:textAlignment w:val="auto"/>
        <w:rPr>
          <w:rFonts w:ascii="仿宋_GB2312" w:hAnsi="Times New Roman" w:eastAsia="仿宋_GB2312" w:cs="Times New Roman"/>
          <w:color w:val="auto"/>
          <w:sz w:val="32"/>
          <w:szCs w:val="32"/>
          <w:lang w:val="en-US" w:eastAsia="zh-CN" w:bidi="ar-SA"/>
        </w:rPr>
      </w:pPr>
      <w:r>
        <w:rPr>
          <w:rFonts w:ascii="仿宋_GB2312" w:hAnsi="Times New Roman" w:eastAsia="仿宋_GB2312" w:cs="Times New Roman"/>
          <w:color w:val="auto"/>
          <w:sz w:val="32"/>
          <w:szCs w:val="32"/>
          <w:lang w:val="en-US" w:eastAsia="zh-CN" w:bidi="ar-SA"/>
        </w:rPr>
        <w:t>（</w:t>
      </w:r>
      <w:r>
        <w:rPr>
          <w:rFonts w:hint="eastAsia" w:ascii="仿宋_GB2312" w:hAnsi="Times New Roman" w:eastAsia="仿宋_GB2312" w:cs="Times New Roman"/>
          <w:color w:val="auto"/>
          <w:sz w:val="32"/>
          <w:szCs w:val="32"/>
          <w:lang w:val="en-US" w:eastAsia="zh-CN" w:bidi="ar-SA"/>
        </w:rPr>
        <w:t>5</w:t>
      </w:r>
      <w:r>
        <w:rPr>
          <w:rFonts w:ascii="仿宋_GB2312" w:hAnsi="Times New Roman" w:eastAsia="仿宋_GB2312" w:cs="Times New Roman"/>
          <w:color w:val="auto"/>
          <w:sz w:val="32"/>
          <w:szCs w:val="32"/>
          <w:lang w:val="en-US" w:eastAsia="zh-CN" w:bidi="ar-SA"/>
        </w:rPr>
        <w:t>）可比性原则：要保证评价结果可以在其他省市之间比 较和借鉴。</w:t>
      </w:r>
    </w:p>
    <w:p>
      <w:pPr>
        <w:pStyle w:val="14"/>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Times New Roman" w:eastAsia="仿宋_GB2312" w:cs="Times New Roman"/>
          <w:color w:val="auto"/>
          <w:sz w:val="32"/>
          <w:szCs w:val="32"/>
          <w:lang w:val="en-US" w:eastAsia="zh-CN" w:bidi="ar-SA"/>
        </w:rPr>
      </w:pPr>
      <w:r>
        <w:rPr>
          <w:rFonts w:ascii="仿宋_GB2312" w:hAnsi="Times New Roman" w:eastAsia="仿宋_GB2312" w:cs="Times New Roman"/>
          <w:color w:val="auto"/>
          <w:sz w:val="32"/>
          <w:szCs w:val="32"/>
          <w:lang w:val="en-US" w:eastAsia="zh-CN" w:bidi="ar-SA"/>
        </w:rPr>
        <w:t>（</w:t>
      </w:r>
      <w:r>
        <w:rPr>
          <w:rFonts w:hint="eastAsia" w:ascii="仿宋_GB2312" w:hAnsi="Times New Roman" w:eastAsia="仿宋_GB2312" w:cs="Times New Roman"/>
          <w:color w:val="auto"/>
          <w:sz w:val="32"/>
          <w:szCs w:val="32"/>
          <w:lang w:val="en-US" w:eastAsia="zh-CN" w:bidi="ar-SA"/>
        </w:rPr>
        <w:t>6</w:t>
      </w:r>
      <w:r>
        <w:rPr>
          <w:rFonts w:ascii="仿宋_GB2312" w:hAnsi="Times New Roman" w:eastAsia="仿宋_GB2312" w:cs="Times New Roman"/>
          <w:color w:val="auto"/>
          <w:sz w:val="32"/>
          <w:szCs w:val="32"/>
          <w:lang w:val="en-US" w:eastAsia="zh-CN" w:bidi="ar-SA"/>
        </w:rPr>
        <w:t>）以定量指标为主，定量与定性指标相结合的原则。绩效评价指标以定量分析评价为主，对于确实不能以客观的量化指标进行分析评价的，可在定性分析的基础上，参照定性指标评分标准进行量化比较分析，以提高绩效评价质量。</w:t>
      </w:r>
    </w:p>
    <w:p>
      <w:pPr>
        <w:pStyle w:val="14"/>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Times New Roman" w:eastAsia="仿宋_GB2312" w:cs="Times New Roman"/>
          <w:color w:val="auto"/>
          <w:sz w:val="32"/>
          <w:szCs w:val="32"/>
          <w:lang w:eastAsia="zh-CN"/>
        </w:rPr>
      </w:pPr>
      <w:r>
        <w:rPr>
          <w:rFonts w:hint="eastAsia" w:ascii="仿宋_GB2312" w:hAnsi="Times New Roman" w:eastAsia="仿宋_GB2312" w:cs="Times New Roman"/>
          <w:color w:val="auto"/>
          <w:sz w:val="32"/>
          <w:szCs w:val="32"/>
          <w:lang w:eastAsia="zh-CN"/>
        </w:rPr>
        <w:t>2、</w:t>
      </w:r>
      <w:r>
        <w:rPr>
          <w:rFonts w:hint="eastAsia" w:ascii="仿宋_GB2312" w:hAnsi="Times New Roman" w:eastAsia="仿宋_GB2312" w:cs="Times New Roman"/>
          <w:color w:val="auto"/>
          <w:sz w:val="32"/>
          <w:szCs w:val="32"/>
        </w:rPr>
        <w:t>绩效评价指标体系</w:t>
      </w:r>
    </w:p>
    <w:p>
      <w:pPr>
        <w:pStyle w:val="14"/>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Times New Roman" w:eastAsia="仿宋_GB2312" w:cs="Times New Roman"/>
          <w:color w:val="auto"/>
          <w:sz w:val="32"/>
          <w:szCs w:val="32"/>
          <w:lang w:eastAsia="zh-CN"/>
        </w:rPr>
      </w:pPr>
      <w:r>
        <w:rPr>
          <w:rFonts w:ascii="仿宋_GB2312" w:hAnsi="Times New Roman" w:eastAsia="仿宋_GB2312" w:cs="Times New Roman"/>
          <w:color w:val="auto"/>
          <w:sz w:val="32"/>
          <w:szCs w:val="32"/>
          <w:lang w:val="en-US" w:eastAsia="zh-CN"/>
        </w:rPr>
        <w:t>绩效评价指标的确定遵循以下原则：</w:t>
      </w:r>
      <w:bookmarkStart w:id="3" w:name="bookmark71"/>
      <w:bookmarkEnd w:id="3"/>
    </w:p>
    <w:p>
      <w:pPr>
        <w:pStyle w:val="14"/>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color w:val="auto"/>
          <w:sz w:val="32"/>
          <w:szCs w:val="32"/>
          <w:lang w:val="en-US" w:eastAsia="zh-CN"/>
        </w:rPr>
      </w:pPr>
      <w:r>
        <w:rPr>
          <w:rFonts w:ascii="仿宋_GB2312" w:hAnsi="Times New Roman" w:eastAsia="仿宋_GB2312" w:cs="Times New Roman"/>
          <w:color w:val="auto"/>
          <w:sz w:val="32"/>
          <w:szCs w:val="32"/>
          <w:lang w:val="en-US"/>
        </w:rPr>
        <w:t>（</w:t>
      </w:r>
      <w:r>
        <w:rPr>
          <w:rFonts w:hint="eastAsia" w:ascii="仿宋_GB2312" w:hAnsi="Times New Roman" w:eastAsia="仿宋_GB2312" w:cs="Times New Roman"/>
          <w:color w:val="auto"/>
          <w:sz w:val="32"/>
          <w:szCs w:val="32"/>
          <w:lang w:val="en-US" w:eastAsia="zh-CN"/>
        </w:rPr>
        <w:t>1</w:t>
      </w:r>
      <w:r>
        <w:rPr>
          <w:rFonts w:ascii="仿宋_GB2312" w:hAnsi="Times New Roman" w:eastAsia="仿宋_GB2312" w:cs="Times New Roman"/>
          <w:color w:val="auto"/>
          <w:sz w:val="32"/>
          <w:szCs w:val="32"/>
          <w:lang w:val="en-US"/>
        </w:rPr>
        <w:t>）</w:t>
      </w:r>
      <w:r>
        <w:rPr>
          <w:rFonts w:ascii="仿宋_GB2312" w:hAnsi="Times New Roman" w:eastAsia="仿宋_GB2312" w:cs="Times New Roman"/>
          <w:color w:val="auto"/>
          <w:sz w:val="32"/>
          <w:szCs w:val="32"/>
          <w:lang w:val="en-US" w:eastAsia="zh-CN"/>
        </w:rPr>
        <w:t>相关性原则一一应当与绩效目标有直接的联系，能够恰当反映目标的实现程度。</w:t>
      </w:r>
      <w:bookmarkStart w:id="4" w:name="bookmark72"/>
      <w:bookmarkEnd w:id="4"/>
    </w:p>
    <w:p>
      <w:pPr>
        <w:pStyle w:val="14"/>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Times New Roman" w:eastAsia="仿宋_GB2312" w:cs="Times New Roman"/>
          <w:color w:val="auto"/>
          <w:sz w:val="32"/>
          <w:szCs w:val="32"/>
          <w:lang w:eastAsia="zh-CN"/>
        </w:rPr>
      </w:pPr>
      <w:r>
        <w:rPr>
          <w:rFonts w:ascii="仿宋_GB2312" w:hAnsi="Times New Roman" w:eastAsia="仿宋_GB2312" w:cs="Times New Roman"/>
          <w:color w:val="auto"/>
          <w:sz w:val="32"/>
          <w:szCs w:val="32"/>
          <w:lang w:val="en-US" w:eastAsia="zh-CN"/>
        </w:rPr>
        <w:t>（</w:t>
      </w:r>
      <w:r>
        <w:rPr>
          <w:rFonts w:hint="eastAsia" w:ascii="仿宋_GB2312" w:hAnsi="Times New Roman" w:eastAsia="仿宋_GB2312" w:cs="Times New Roman"/>
          <w:color w:val="auto"/>
          <w:sz w:val="32"/>
          <w:szCs w:val="32"/>
          <w:lang w:val="en-US" w:eastAsia="zh-CN"/>
        </w:rPr>
        <w:t>2</w:t>
      </w:r>
      <w:r>
        <w:rPr>
          <w:rFonts w:ascii="仿宋_GB2312" w:hAnsi="Times New Roman" w:eastAsia="仿宋_GB2312" w:cs="Times New Roman"/>
          <w:color w:val="auto"/>
          <w:sz w:val="32"/>
          <w:szCs w:val="32"/>
          <w:lang w:val="en-US" w:eastAsia="zh-CN"/>
        </w:rPr>
        <w:t>）重要性原则一一优先使用最具评价对象代表性、最能反映评价要求的核心指标。</w:t>
      </w:r>
    </w:p>
    <w:p>
      <w:pPr>
        <w:pStyle w:val="14"/>
        <w:keepNext w:val="0"/>
        <w:keepLines w:val="0"/>
        <w:pageBreakBefore w:val="0"/>
        <w:tabs>
          <w:tab w:val="left" w:pos="1316"/>
        </w:tabs>
        <w:kinsoku/>
        <w:wordWrap/>
        <w:overflowPunct/>
        <w:topLinePunct w:val="0"/>
        <w:autoSpaceDE/>
        <w:autoSpaceDN/>
        <w:bidi w:val="0"/>
        <w:adjustRightInd/>
        <w:snapToGrid/>
        <w:spacing w:line="560" w:lineRule="exact"/>
        <w:ind w:firstLine="745" w:firstLineChars="233"/>
        <w:jc w:val="left"/>
        <w:textAlignment w:val="auto"/>
        <w:rPr>
          <w:rFonts w:ascii="仿宋_GB2312" w:hAnsi="Times New Roman" w:eastAsia="仿宋_GB2312" w:cs="Times New Roman"/>
          <w:color w:val="auto"/>
          <w:sz w:val="32"/>
          <w:szCs w:val="32"/>
          <w:lang w:val="en-US" w:eastAsia="zh-CN"/>
        </w:rPr>
      </w:pPr>
      <w:bookmarkStart w:id="5" w:name="bookmark73"/>
      <w:bookmarkEnd w:id="5"/>
      <w:r>
        <w:rPr>
          <w:rFonts w:hint="eastAsia" w:ascii="仿宋_GB2312" w:hAnsi="Times New Roman" w:eastAsia="仿宋_GB2312" w:cs="Times New Roman"/>
          <w:color w:val="auto"/>
          <w:sz w:val="32"/>
          <w:szCs w:val="32"/>
          <w:lang w:val="en-US" w:eastAsia="zh-CN"/>
        </w:rPr>
        <w:t>（3）</w:t>
      </w:r>
      <w:r>
        <w:rPr>
          <w:rFonts w:ascii="仿宋_GB2312" w:hAnsi="Times New Roman" w:eastAsia="仿宋_GB2312" w:cs="Times New Roman"/>
          <w:color w:val="auto"/>
          <w:sz w:val="32"/>
          <w:szCs w:val="32"/>
          <w:lang w:val="en-US" w:eastAsia="zh-CN"/>
        </w:rPr>
        <w:t>可比性原则一一对同类评价对象要设定共性的绩效 评价指标，以便于评价结果可以相互比较。</w:t>
      </w:r>
    </w:p>
    <w:p>
      <w:pPr>
        <w:pStyle w:val="14"/>
        <w:keepNext w:val="0"/>
        <w:keepLines w:val="0"/>
        <w:pageBreakBefore w:val="0"/>
        <w:tabs>
          <w:tab w:val="left" w:pos="1316"/>
        </w:tabs>
        <w:kinsoku/>
        <w:wordWrap/>
        <w:overflowPunct/>
        <w:topLinePunct w:val="0"/>
        <w:autoSpaceDE/>
        <w:autoSpaceDN/>
        <w:bidi w:val="0"/>
        <w:adjustRightInd/>
        <w:snapToGrid/>
        <w:spacing w:line="560" w:lineRule="exact"/>
        <w:ind w:firstLine="745" w:firstLineChars="233"/>
        <w:jc w:val="left"/>
        <w:textAlignment w:val="auto"/>
        <w:rPr>
          <w:rFonts w:ascii="仿宋_GB2312" w:hAnsi="Times New Roman" w:eastAsia="仿宋_GB2312" w:cs="Times New Roman"/>
          <w:color w:val="auto"/>
          <w:sz w:val="32"/>
          <w:szCs w:val="32"/>
          <w:lang w:val="en-US" w:eastAsia="zh-CN"/>
        </w:rPr>
      </w:pPr>
      <w:bookmarkStart w:id="6" w:name="bookmark74"/>
      <w:bookmarkEnd w:id="6"/>
      <w:r>
        <w:rPr>
          <w:rFonts w:hint="eastAsia" w:ascii="仿宋_GB2312" w:hAnsi="Times New Roman" w:eastAsia="仿宋_GB2312" w:cs="Times New Roman"/>
          <w:color w:val="auto"/>
          <w:sz w:val="32"/>
          <w:szCs w:val="32"/>
          <w:lang w:val="en-US" w:eastAsia="zh-CN"/>
        </w:rPr>
        <w:t>（4）</w:t>
      </w:r>
      <w:r>
        <w:rPr>
          <w:rFonts w:ascii="仿宋_GB2312" w:hAnsi="Times New Roman" w:eastAsia="仿宋_GB2312" w:cs="Times New Roman"/>
          <w:color w:val="auto"/>
          <w:sz w:val="32"/>
          <w:szCs w:val="32"/>
          <w:lang w:val="en-US" w:eastAsia="zh-CN"/>
        </w:rPr>
        <w:t>系统性原则一一应当将定量指标与定性指标相结合，系统反映财政支出所产生的社会效益、经济效益、环境效益和可持续影响等。</w:t>
      </w:r>
    </w:p>
    <w:p>
      <w:pPr>
        <w:pStyle w:val="14"/>
        <w:keepNext w:val="0"/>
        <w:keepLines w:val="0"/>
        <w:pageBreakBefore w:val="0"/>
        <w:tabs>
          <w:tab w:val="left" w:pos="1316"/>
        </w:tabs>
        <w:kinsoku/>
        <w:wordWrap/>
        <w:overflowPunct/>
        <w:topLinePunct w:val="0"/>
        <w:autoSpaceDE/>
        <w:autoSpaceDN/>
        <w:bidi w:val="0"/>
        <w:adjustRightInd/>
        <w:snapToGrid/>
        <w:spacing w:line="560" w:lineRule="exact"/>
        <w:ind w:firstLine="640" w:firstLineChars="200"/>
        <w:jc w:val="left"/>
        <w:textAlignment w:val="auto"/>
        <w:rPr>
          <w:rFonts w:ascii="仿宋_GB2312" w:hAnsi="Times New Roman" w:eastAsia="仿宋_GB2312" w:cs="Times New Roman"/>
          <w:color w:val="auto"/>
          <w:sz w:val="32"/>
          <w:szCs w:val="32"/>
          <w:lang w:val="en-US" w:bidi="ar-SA"/>
        </w:rPr>
      </w:pPr>
      <w:bookmarkStart w:id="7" w:name="bookmark75"/>
      <w:bookmarkEnd w:id="7"/>
      <w:r>
        <w:rPr>
          <w:rFonts w:hint="eastAsia" w:ascii="仿宋_GB2312" w:hAnsi="Times New Roman" w:eastAsia="仿宋_GB2312" w:cs="Times New Roman"/>
          <w:color w:val="auto"/>
          <w:sz w:val="32"/>
          <w:szCs w:val="32"/>
          <w:lang w:val="en-US" w:eastAsia="zh-CN"/>
        </w:rPr>
        <w:t>（5）</w:t>
      </w:r>
      <w:r>
        <w:rPr>
          <w:rFonts w:ascii="仿宋_GB2312" w:hAnsi="Times New Roman" w:eastAsia="仿宋_GB2312" w:cs="Times New Roman"/>
          <w:color w:val="auto"/>
          <w:sz w:val="32"/>
          <w:szCs w:val="32"/>
          <w:lang w:val="en-US" w:eastAsia="zh-CN"/>
        </w:rPr>
        <w:t>经济性原则一一应当通俗易懂、简便易行，数据的获得应当考虑现实条件和可操作性，符合成本效益原则。</w:t>
      </w:r>
    </w:p>
    <w:p>
      <w:pPr>
        <w:pStyle w:val="14"/>
        <w:keepNext w:val="0"/>
        <w:keepLines w:val="0"/>
        <w:pageBreakBefore w:val="0"/>
        <w:tabs>
          <w:tab w:val="left" w:pos="979"/>
        </w:tabs>
        <w:kinsoku/>
        <w:wordWrap/>
        <w:overflowPunct/>
        <w:topLinePunct w:val="0"/>
        <w:autoSpaceDE/>
        <w:autoSpaceDN/>
        <w:bidi w:val="0"/>
        <w:adjustRightInd/>
        <w:snapToGrid/>
        <w:spacing w:line="560" w:lineRule="exact"/>
        <w:ind w:left="500" w:firstLine="0"/>
        <w:textAlignment w:val="auto"/>
        <w:rPr>
          <w:rFonts w:ascii="仿宋_GB2312" w:hAnsi="Times New Roman" w:eastAsia="仿宋_GB2312" w:cs="Times New Roman"/>
          <w:color w:val="auto"/>
          <w:sz w:val="32"/>
          <w:szCs w:val="32"/>
          <w:lang w:val="en-US" w:eastAsia="zh-CN"/>
        </w:rPr>
      </w:pPr>
      <w:r>
        <w:rPr>
          <w:rFonts w:ascii="仿宋_GB2312" w:hAnsi="Times New Roman" w:eastAsia="仿宋_GB2312" w:cs="Times New Roman"/>
          <w:color w:val="auto"/>
          <w:sz w:val="32"/>
          <w:szCs w:val="32"/>
          <w:lang w:val="en-US" w:eastAsia="zh-CN"/>
        </w:rPr>
        <w:t>绩效评价指标体系设定：</w:t>
      </w:r>
    </w:p>
    <w:p>
      <w:pPr>
        <w:pStyle w:val="14"/>
        <w:keepNext w:val="0"/>
        <w:keepLines w:val="0"/>
        <w:pageBreakBefore w:val="0"/>
        <w:tabs>
          <w:tab w:val="left" w:pos="979"/>
        </w:tabs>
        <w:kinsoku/>
        <w:wordWrap/>
        <w:overflowPunct/>
        <w:topLinePunct w:val="0"/>
        <w:autoSpaceDE/>
        <w:autoSpaceDN/>
        <w:bidi w:val="0"/>
        <w:adjustRightInd/>
        <w:snapToGrid/>
        <w:spacing w:line="560" w:lineRule="exact"/>
        <w:ind w:firstLine="745" w:firstLineChars="233"/>
        <w:textAlignment w:val="auto"/>
        <w:rPr>
          <w:rFonts w:ascii="仿宋_GB2312" w:hAnsi="Times New Roman" w:eastAsia="仿宋_GB2312" w:cs="Times New Roman"/>
          <w:color w:val="auto"/>
          <w:sz w:val="32"/>
          <w:szCs w:val="32"/>
          <w:lang w:val="en-US" w:eastAsia="zh-CN" w:bidi="ar-SA"/>
        </w:rPr>
      </w:pPr>
      <w:r>
        <w:rPr>
          <w:rFonts w:hint="eastAsia" w:ascii="仿宋_GB2312" w:hAnsi="Times New Roman" w:eastAsia="仿宋_GB2312" w:cs="Times New Roman"/>
          <w:color w:val="auto"/>
          <w:sz w:val="32"/>
          <w:szCs w:val="32"/>
          <w:lang w:val="en-US" w:eastAsia="zh-CN" w:bidi="ar-SA"/>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见附件1）</w:t>
      </w:r>
    </w:p>
    <w:p>
      <w:pPr>
        <w:pStyle w:val="14"/>
        <w:keepNext w:val="0"/>
        <w:keepLines w:val="0"/>
        <w:pageBreakBefore w:val="0"/>
        <w:tabs>
          <w:tab w:val="left" w:pos="979"/>
        </w:tabs>
        <w:kinsoku/>
        <w:wordWrap/>
        <w:overflowPunct/>
        <w:topLinePunct w:val="0"/>
        <w:autoSpaceDE/>
        <w:autoSpaceDN/>
        <w:bidi w:val="0"/>
        <w:adjustRightInd/>
        <w:snapToGrid/>
        <w:spacing w:line="560" w:lineRule="exact"/>
        <w:ind w:firstLine="745" w:firstLineChars="233"/>
        <w:textAlignment w:val="auto"/>
        <w:rPr>
          <w:rFonts w:ascii="仿宋_GB2312" w:hAnsi="Times New Roman" w:eastAsia="仿宋_GB2312" w:cs="Times New Roman"/>
          <w:color w:val="auto"/>
          <w:sz w:val="32"/>
          <w:szCs w:val="32"/>
          <w:lang w:val="en-US" w:eastAsia="zh-CN" w:bidi="ar-SA"/>
        </w:rPr>
      </w:pPr>
      <w:r>
        <w:rPr>
          <w:rFonts w:ascii="仿宋_GB2312" w:hAnsi="Times New Roman" w:eastAsia="仿宋_GB2312" w:cs="Times New Roman"/>
          <w:color w:val="auto"/>
          <w:sz w:val="32"/>
          <w:szCs w:val="32"/>
          <w:lang w:val="en-US" w:eastAsia="zh-CN" w:bidi="ar-SA"/>
        </w:rPr>
        <w:t>在</w:t>
      </w:r>
      <w:r>
        <w:rPr>
          <w:rFonts w:hint="eastAsia" w:ascii="仿宋_GB2312" w:hAnsi="Times New Roman" w:eastAsia="仿宋_GB2312" w:cs="Times New Roman"/>
          <w:color w:val="auto"/>
          <w:sz w:val="32"/>
          <w:szCs w:val="32"/>
          <w:lang w:val="en-US" w:eastAsia="zh-CN" w:bidi="ar-SA"/>
        </w:rPr>
        <w:t>办公设备购置</w:t>
      </w:r>
      <w:r>
        <w:rPr>
          <w:rFonts w:ascii="仿宋_GB2312" w:hAnsi="Times New Roman" w:eastAsia="仿宋_GB2312" w:cs="Times New Roman"/>
          <w:color w:val="auto"/>
          <w:sz w:val="32"/>
          <w:szCs w:val="32"/>
          <w:lang w:val="en-US" w:eastAsia="zh-CN" w:bidi="ar-SA"/>
        </w:rPr>
        <w:t>经费项目的深入调研的基础上，按照《项目支出绩效评价管理办法》（财预〔20</w:t>
      </w:r>
      <w:r>
        <w:rPr>
          <w:rFonts w:hint="eastAsia" w:ascii="仿宋_GB2312" w:hAnsi="Times New Roman" w:eastAsia="仿宋_GB2312" w:cs="Times New Roman"/>
          <w:color w:val="auto"/>
          <w:sz w:val="32"/>
          <w:szCs w:val="32"/>
          <w:lang w:val="en-US" w:eastAsia="zh-CN" w:bidi="ar-SA"/>
        </w:rPr>
        <w:t>20</w:t>
      </w:r>
      <w:r>
        <w:rPr>
          <w:rFonts w:ascii="仿宋_GB2312" w:hAnsi="Times New Roman" w:eastAsia="仿宋_GB2312" w:cs="Times New Roman"/>
          <w:color w:val="auto"/>
          <w:sz w:val="32"/>
          <w:szCs w:val="32"/>
          <w:lang w:val="en-US" w:eastAsia="zh-CN" w:bidi="ar-SA"/>
        </w:rPr>
        <w:t>〕</w:t>
      </w:r>
      <w:r>
        <w:rPr>
          <w:rFonts w:hint="eastAsia" w:ascii="仿宋_GB2312" w:hAnsi="Times New Roman" w:eastAsia="仿宋_GB2312" w:cs="Times New Roman"/>
          <w:color w:val="auto"/>
          <w:sz w:val="32"/>
          <w:szCs w:val="32"/>
          <w:lang w:val="en-US" w:eastAsia="zh-CN" w:bidi="ar-SA"/>
        </w:rPr>
        <w:t>10号</w:t>
      </w:r>
      <w:r>
        <w:rPr>
          <w:rFonts w:ascii="仿宋_GB2312" w:hAnsi="Times New Roman" w:eastAsia="仿宋_GB2312" w:cs="Times New Roman"/>
          <w:color w:val="auto"/>
          <w:sz w:val="32"/>
          <w:szCs w:val="32"/>
          <w:lang w:val="en-US" w:eastAsia="zh-CN" w:bidi="ar-SA"/>
        </w:rPr>
        <w:t>）对于指标体系的要求和规范，建立一套适合评价</w:t>
      </w:r>
      <w:r>
        <w:rPr>
          <w:rFonts w:hint="eastAsia" w:ascii="仿宋_GB2312" w:hAnsi="Times New Roman" w:eastAsia="仿宋_GB2312" w:cs="Times New Roman"/>
          <w:color w:val="auto"/>
          <w:sz w:val="32"/>
          <w:szCs w:val="32"/>
          <w:lang w:val="en-US" w:eastAsia="zh-CN" w:bidi="ar-SA"/>
        </w:rPr>
        <w:t>办公设备购置</w:t>
      </w:r>
      <w:r>
        <w:rPr>
          <w:rFonts w:ascii="仿宋_GB2312" w:hAnsi="Times New Roman" w:eastAsia="仿宋_GB2312" w:cs="Times New Roman"/>
          <w:color w:val="auto"/>
          <w:sz w:val="32"/>
          <w:szCs w:val="32"/>
          <w:lang w:val="en-US" w:eastAsia="zh-CN" w:bidi="ar-SA"/>
        </w:rPr>
        <w:t>经费项目的指标体系，从项目决策、项目过程、项目产出和项目绩效四个维度全面考察</w:t>
      </w:r>
      <w:r>
        <w:rPr>
          <w:rFonts w:hint="eastAsia" w:ascii="仿宋_GB2312" w:hAnsi="Times New Roman" w:eastAsia="仿宋_GB2312" w:cs="Times New Roman"/>
          <w:color w:val="auto"/>
          <w:sz w:val="32"/>
          <w:szCs w:val="32"/>
          <w:lang w:val="en-US" w:eastAsia="zh-CN" w:bidi="ar-SA"/>
        </w:rPr>
        <w:t>办公设备购置</w:t>
      </w:r>
      <w:r>
        <w:rPr>
          <w:rFonts w:ascii="仿宋_GB2312" w:hAnsi="Times New Roman" w:eastAsia="仿宋_GB2312" w:cs="Times New Roman"/>
          <w:color w:val="auto"/>
          <w:sz w:val="32"/>
          <w:szCs w:val="32"/>
          <w:lang w:val="en-US" w:eastAsia="zh-CN" w:bidi="ar-SA"/>
        </w:rPr>
        <w:t>经费项目资金的效益，并重点对于项目的产出和绩效进行总体分析，以达到通过指标体系的科学评价反思管理及决策问题的目标。</w:t>
      </w:r>
      <w:r>
        <w:rPr>
          <w:rFonts w:hint="eastAsia" w:ascii="仿宋_GB2312" w:hAnsi="Times New Roman" w:eastAsia="仿宋_GB2312" w:cs="Times New Roman"/>
          <w:color w:val="auto"/>
          <w:sz w:val="32"/>
          <w:szCs w:val="32"/>
          <w:lang w:val="en-US" w:eastAsia="zh-CN" w:bidi="ar-SA"/>
        </w:rPr>
        <w:t>（见附件1）</w:t>
      </w:r>
    </w:p>
    <w:p>
      <w:pPr>
        <w:pStyle w:val="14"/>
        <w:keepNext w:val="0"/>
        <w:keepLines w:val="0"/>
        <w:pageBreakBefore w:val="0"/>
        <w:tabs>
          <w:tab w:val="left" w:pos="979"/>
        </w:tabs>
        <w:kinsoku/>
        <w:wordWrap/>
        <w:overflowPunct/>
        <w:topLinePunct w:val="0"/>
        <w:autoSpaceDE/>
        <w:autoSpaceDN/>
        <w:bidi w:val="0"/>
        <w:adjustRightInd/>
        <w:snapToGrid/>
        <w:spacing w:line="560" w:lineRule="exact"/>
        <w:ind w:firstLine="745" w:firstLineChars="233"/>
        <w:textAlignment w:val="auto"/>
        <w:rPr>
          <w:rFonts w:ascii="仿宋_GB2312" w:hAnsi="Times New Roman" w:eastAsia="仿宋_GB2312" w:cs="Times New Roman"/>
          <w:color w:val="auto"/>
          <w:sz w:val="32"/>
          <w:szCs w:val="32"/>
          <w:lang w:val="en-US" w:eastAsia="zh-CN" w:bidi="ar-SA"/>
        </w:rPr>
      </w:pPr>
      <w:r>
        <w:rPr>
          <w:rFonts w:hint="eastAsia" w:ascii="仿宋_GB2312" w:hAnsi="Times New Roman" w:eastAsia="仿宋_GB2312" w:cs="Times New Roman"/>
          <w:color w:val="auto"/>
          <w:sz w:val="32"/>
          <w:szCs w:val="32"/>
          <w:lang w:val="en-US" w:eastAsia="zh-CN"/>
        </w:rPr>
        <w:t>3、</w:t>
      </w:r>
      <w:r>
        <w:rPr>
          <w:rFonts w:hint="eastAsia" w:ascii="仿宋_GB2312" w:hAnsi="Times New Roman" w:eastAsia="仿宋_GB2312" w:cs="Times New Roman"/>
          <w:color w:val="auto"/>
          <w:sz w:val="32"/>
          <w:szCs w:val="32"/>
        </w:rPr>
        <w:t>绩效评价方法</w:t>
      </w:r>
    </w:p>
    <w:p>
      <w:pPr>
        <w:pStyle w:val="14"/>
        <w:keepNext w:val="0"/>
        <w:keepLines w:val="0"/>
        <w:pageBreakBefore w:val="0"/>
        <w:kinsoku/>
        <w:wordWrap/>
        <w:overflowPunct/>
        <w:topLinePunct w:val="0"/>
        <w:autoSpaceDE/>
        <w:autoSpaceDN/>
        <w:bidi w:val="0"/>
        <w:adjustRightInd/>
        <w:snapToGrid/>
        <w:spacing w:line="560" w:lineRule="exact"/>
        <w:ind w:firstLine="500"/>
        <w:jc w:val="left"/>
        <w:textAlignment w:val="auto"/>
        <w:rPr>
          <w:rFonts w:ascii="仿宋_GB2312" w:hAnsi="Times New Roman" w:eastAsia="仿宋_GB2312" w:cs="Times New Roman"/>
          <w:color w:val="auto"/>
          <w:sz w:val="32"/>
          <w:szCs w:val="32"/>
          <w:lang w:val="en-US" w:eastAsia="zh-CN" w:bidi="ar-SA"/>
        </w:rPr>
      </w:pPr>
      <w:r>
        <w:rPr>
          <w:rFonts w:hint="eastAsia" w:ascii="仿宋_GB2312" w:hAnsi="Times New Roman" w:eastAsia="仿宋_GB2312" w:cs="Times New Roman"/>
          <w:color w:val="auto"/>
          <w:sz w:val="32"/>
          <w:szCs w:val="32"/>
          <w:lang w:val="en-US" w:eastAsia="zh-CN" w:bidi="ar-SA"/>
        </w:rPr>
        <w:t>绩效评价方法主要包括成本效益分析法、比较法、因素分析法、最低成本法、公众评判法、标杆管理法等。根据评价对象的具体情况，可采用一种或多种方法。</w:t>
      </w:r>
    </w:p>
    <w:p>
      <w:pPr>
        <w:pStyle w:val="14"/>
        <w:keepNext w:val="0"/>
        <w:keepLines w:val="0"/>
        <w:pageBreakBefore w:val="0"/>
        <w:kinsoku/>
        <w:wordWrap/>
        <w:overflowPunct/>
        <w:topLinePunct w:val="0"/>
        <w:autoSpaceDE/>
        <w:autoSpaceDN/>
        <w:bidi w:val="0"/>
        <w:adjustRightInd/>
        <w:snapToGrid/>
        <w:spacing w:line="560" w:lineRule="exact"/>
        <w:ind w:firstLine="500"/>
        <w:jc w:val="left"/>
        <w:textAlignment w:val="auto"/>
        <w:rPr>
          <w:rFonts w:ascii="仿宋_GB2312" w:hAnsi="Times New Roman" w:eastAsia="仿宋_GB2312" w:cs="Times New Roman"/>
          <w:color w:val="auto"/>
          <w:sz w:val="32"/>
          <w:szCs w:val="32"/>
          <w:lang w:val="en-US" w:eastAsia="zh-CN" w:bidi="ar-SA"/>
        </w:rPr>
      </w:pPr>
      <w:r>
        <w:rPr>
          <w:rFonts w:hint="eastAsia" w:ascii="仿宋_GB2312" w:hAnsi="Times New Roman" w:eastAsia="仿宋_GB2312" w:cs="Times New Roman"/>
          <w:color w:val="auto"/>
          <w:sz w:val="32"/>
          <w:szCs w:val="32"/>
          <w:lang w:val="en-US" w:eastAsia="zh-CN" w:bidi="ar-SA"/>
        </w:rPr>
        <w:t xml:space="preserve">（一）成本效益分析法。是指将投入与产出、效益进行关联性分析的方法。 </w:t>
      </w:r>
    </w:p>
    <w:p>
      <w:pPr>
        <w:pStyle w:val="14"/>
        <w:keepNext w:val="0"/>
        <w:keepLines w:val="0"/>
        <w:pageBreakBefore w:val="0"/>
        <w:kinsoku/>
        <w:wordWrap/>
        <w:overflowPunct/>
        <w:topLinePunct w:val="0"/>
        <w:autoSpaceDE/>
        <w:autoSpaceDN/>
        <w:bidi w:val="0"/>
        <w:adjustRightInd/>
        <w:snapToGrid/>
        <w:spacing w:line="560" w:lineRule="exact"/>
        <w:ind w:firstLine="500"/>
        <w:jc w:val="left"/>
        <w:textAlignment w:val="auto"/>
        <w:rPr>
          <w:rFonts w:ascii="仿宋_GB2312" w:hAnsi="Times New Roman" w:eastAsia="仿宋_GB2312" w:cs="Times New Roman"/>
          <w:color w:val="auto"/>
          <w:sz w:val="32"/>
          <w:szCs w:val="32"/>
          <w:lang w:val="en-US" w:eastAsia="zh-CN" w:bidi="ar-SA"/>
        </w:rPr>
      </w:pPr>
      <w:r>
        <w:rPr>
          <w:rFonts w:hint="eastAsia" w:ascii="仿宋_GB2312" w:hAnsi="Times New Roman" w:eastAsia="仿宋_GB2312" w:cs="Times New Roman"/>
          <w:color w:val="auto"/>
          <w:sz w:val="32"/>
          <w:szCs w:val="32"/>
          <w:lang w:val="en-US" w:eastAsia="zh-CN" w:bidi="ar-SA"/>
        </w:rPr>
        <w:t>（二）比较法。是指将实施情况与绩效目标、历史情况、不同部门和地区同类支出情况进行比较的方法。</w:t>
      </w:r>
    </w:p>
    <w:p>
      <w:pPr>
        <w:pStyle w:val="14"/>
        <w:keepNext w:val="0"/>
        <w:keepLines w:val="0"/>
        <w:pageBreakBefore w:val="0"/>
        <w:kinsoku/>
        <w:wordWrap/>
        <w:overflowPunct/>
        <w:topLinePunct w:val="0"/>
        <w:autoSpaceDE/>
        <w:autoSpaceDN/>
        <w:bidi w:val="0"/>
        <w:adjustRightInd/>
        <w:snapToGrid/>
        <w:spacing w:line="560" w:lineRule="exact"/>
        <w:ind w:firstLine="500"/>
        <w:jc w:val="left"/>
        <w:textAlignment w:val="auto"/>
        <w:rPr>
          <w:rFonts w:ascii="仿宋_GB2312" w:hAnsi="Times New Roman" w:eastAsia="仿宋_GB2312" w:cs="Times New Roman"/>
          <w:color w:val="auto"/>
          <w:sz w:val="32"/>
          <w:szCs w:val="32"/>
          <w:lang w:val="en-US" w:eastAsia="zh-CN" w:bidi="ar-SA"/>
        </w:rPr>
      </w:pPr>
      <w:r>
        <w:rPr>
          <w:rFonts w:hint="eastAsia" w:ascii="仿宋_GB2312" w:hAnsi="Times New Roman" w:eastAsia="仿宋_GB2312" w:cs="Times New Roman"/>
          <w:color w:val="auto"/>
          <w:sz w:val="32"/>
          <w:szCs w:val="32"/>
          <w:lang w:val="en-US" w:eastAsia="zh-CN" w:bidi="ar-SA"/>
        </w:rPr>
        <w:t>（三）因素分析法。是指综合分析影响绩效目标实现、实施效果的内外部因素的方法。</w:t>
      </w:r>
    </w:p>
    <w:p>
      <w:pPr>
        <w:pStyle w:val="14"/>
        <w:keepNext w:val="0"/>
        <w:keepLines w:val="0"/>
        <w:pageBreakBefore w:val="0"/>
        <w:kinsoku/>
        <w:wordWrap/>
        <w:overflowPunct/>
        <w:topLinePunct w:val="0"/>
        <w:autoSpaceDE/>
        <w:autoSpaceDN/>
        <w:bidi w:val="0"/>
        <w:adjustRightInd/>
        <w:snapToGrid/>
        <w:spacing w:line="560" w:lineRule="exact"/>
        <w:ind w:firstLine="500"/>
        <w:jc w:val="left"/>
        <w:textAlignment w:val="auto"/>
        <w:rPr>
          <w:rFonts w:ascii="仿宋_GB2312" w:hAnsi="Times New Roman" w:eastAsia="仿宋_GB2312" w:cs="Times New Roman"/>
          <w:color w:val="auto"/>
          <w:sz w:val="32"/>
          <w:szCs w:val="32"/>
          <w:lang w:val="en-US" w:eastAsia="zh-CN" w:bidi="ar-SA"/>
        </w:rPr>
      </w:pPr>
      <w:r>
        <w:rPr>
          <w:rFonts w:hint="eastAsia" w:ascii="仿宋_GB2312" w:hAnsi="Times New Roman" w:eastAsia="仿宋_GB2312" w:cs="Times New Roman"/>
          <w:color w:val="auto"/>
          <w:sz w:val="32"/>
          <w:szCs w:val="32"/>
          <w:lang w:val="en-US" w:eastAsia="zh-CN" w:bidi="ar-SA"/>
        </w:rPr>
        <w:t>（四）最低成本法。是指在绩效目标确定的前提下，成本最小者为优的方法。</w:t>
      </w:r>
    </w:p>
    <w:p>
      <w:pPr>
        <w:pStyle w:val="14"/>
        <w:keepNext w:val="0"/>
        <w:keepLines w:val="0"/>
        <w:pageBreakBefore w:val="0"/>
        <w:kinsoku/>
        <w:wordWrap/>
        <w:overflowPunct/>
        <w:topLinePunct w:val="0"/>
        <w:autoSpaceDE/>
        <w:autoSpaceDN/>
        <w:bidi w:val="0"/>
        <w:adjustRightInd/>
        <w:snapToGrid/>
        <w:spacing w:line="560" w:lineRule="exact"/>
        <w:ind w:firstLine="500"/>
        <w:jc w:val="left"/>
        <w:textAlignment w:val="auto"/>
        <w:rPr>
          <w:rFonts w:ascii="仿宋_GB2312" w:hAnsi="Times New Roman" w:eastAsia="仿宋_GB2312" w:cs="Times New Roman"/>
          <w:color w:val="auto"/>
          <w:sz w:val="32"/>
          <w:szCs w:val="32"/>
          <w:lang w:val="en-US" w:eastAsia="zh-CN" w:bidi="ar-SA"/>
        </w:rPr>
      </w:pPr>
      <w:r>
        <w:rPr>
          <w:rFonts w:hint="eastAsia" w:ascii="仿宋_GB2312" w:hAnsi="Times New Roman" w:eastAsia="仿宋_GB2312" w:cs="Times New Roman"/>
          <w:color w:val="auto"/>
          <w:sz w:val="32"/>
          <w:szCs w:val="32"/>
          <w:lang w:val="en-US" w:eastAsia="zh-CN" w:bidi="ar-SA"/>
        </w:rPr>
        <w:t>（五）公众评判法。是指通过专家评估、公众问卷及抽样调查等方式进行评判的方法。</w:t>
      </w:r>
    </w:p>
    <w:p>
      <w:pPr>
        <w:pStyle w:val="14"/>
        <w:keepNext w:val="0"/>
        <w:keepLines w:val="0"/>
        <w:pageBreakBefore w:val="0"/>
        <w:kinsoku/>
        <w:wordWrap/>
        <w:overflowPunct/>
        <w:topLinePunct w:val="0"/>
        <w:autoSpaceDE/>
        <w:autoSpaceDN/>
        <w:bidi w:val="0"/>
        <w:adjustRightInd/>
        <w:snapToGrid/>
        <w:spacing w:line="560" w:lineRule="exact"/>
        <w:ind w:firstLine="500"/>
        <w:jc w:val="left"/>
        <w:textAlignment w:val="auto"/>
        <w:rPr>
          <w:rFonts w:ascii="仿宋_GB2312" w:hAnsi="Times New Roman" w:eastAsia="仿宋_GB2312" w:cs="Times New Roman"/>
          <w:color w:val="auto"/>
          <w:sz w:val="32"/>
          <w:szCs w:val="32"/>
          <w:lang w:val="en-US" w:eastAsia="zh-CN" w:bidi="ar-SA"/>
        </w:rPr>
      </w:pPr>
      <w:r>
        <w:rPr>
          <w:rFonts w:hint="eastAsia" w:ascii="仿宋_GB2312" w:hAnsi="Times New Roman" w:eastAsia="仿宋_GB2312" w:cs="Times New Roman"/>
          <w:color w:val="auto"/>
          <w:sz w:val="32"/>
          <w:szCs w:val="32"/>
          <w:lang w:val="en-US" w:eastAsia="zh-CN" w:bidi="ar-SA"/>
        </w:rPr>
        <w:t>（六）标杆管理法。是指以国内外同行业中较高的绩效水平为标杆进行评判的方法。</w:t>
      </w:r>
    </w:p>
    <w:p>
      <w:pPr>
        <w:pStyle w:val="14"/>
        <w:keepNext w:val="0"/>
        <w:keepLines w:val="0"/>
        <w:pageBreakBefore w:val="0"/>
        <w:kinsoku/>
        <w:wordWrap/>
        <w:overflowPunct/>
        <w:topLinePunct w:val="0"/>
        <w:autoSpaceDE/>
        <w:autoSpaceDN/>
        <w:bidi w:val="0"/>
        <w:adjustRightInd/>
        <w:snapToGrid/>
        <w:spacing w:line="560" w:lineRule="exact"/>
        <w:ind w:firstLine="500"/>
        <w:jc w:val="left"/>
        <w:textAlignment w:val="auto"/>
        <w:rPr>
          <w:rFonts w:ascii="仿宋_GB2312" w:hAnsi="Times New Roman" w:eastAsia="仿宋_GB2312" w:cs="Times New Roman"/>
          <w:color w:val="auto"/>
          <w:sz w:val="32"/>
          <w:szCs w:val="32"/>
          <w:lang w:val="en-US" w:eastAsia="zh-CN" w:bidi="ar-SA"/>
        </w:rPr>
      </w:pPr>
      <w:r>
        <w:rPr>
          <w:rFonts w:hint="eastAsia" w:ascii="仿宋_GB2312" w:hAnsi="Times New Roman" w:eastAsia="仿宋_GB2312" w:cs="Times New Roman"/>
          <w:color w:val="auto"/>
          <w:sz w:val="32"/>
          <w:szCs w:val="32"/>
          <w:lang w:val="en-US" w:eastAsia="zh-CN" w:bidi="ar-SA"/>
        </w:rPr>
        <w:t>（七）其他评价方法。</w:t>
      </w:r>
    </w:p>
    <w:p>
      <w:pPr>
        <w:keepNext w:val="0"/>
        <w:keepLines w:val="0"/>
        <w:pageBreakBefore w:val="0"/>
        <w:kinsoku/>
        <w:wordWrap/>
        <w:overflowPunct/>
        <w:topLinePunct w:val="0"/>
        <w:autoSpaceDE/>
        <w:autoSpaceDN/>
        <w:bidi w:val="0"/>
        <w:adjustRightInd/>
        <w:snapToGrid/>
        <w:spacing w:line="560" w:lineRule="exact"/>
        <w:ind w:firstLine="585"/>
        <w:textAlignment w:val="auto"/>
        <w:rPr>
          <w:rFonts w:ascii="仿宋_GB2312" w:hAnsi="Times New Roman" w:eastAsia="仿宋_GB2312"/>
          <w:color w:val="auto"/>
          <w:sz w:val="32"/>
          <w:szCs w:val="32"/>
        </w:rPr>
      </w:pPr>
      <w:r>
        <w:rPr>
          <w:rFonts w:hint="eastAsia" w:ascii="仿宋_GB2312" w:hAnsi="Times New Roman" w:eastAsia="仿宋_GB2312"/>
          <w:color w:val="auto"/>
          <w:sz w:val="32"/>
          <w:szCs w:val="32"/>
        </w:rPr>
        <w:t>材料核实法。通过查账了解项目资金实际开支情况，包括是否专款专用、是否按标准支出。检查实施单位专项资金凭证及账册，核实项目资金拨付时间、金额、支出时间、内容、范围和标准等，核实各项支出是否按照资金管理办法的范围和标准执行，是否存在超范围列支的情况。</w:t>
      </w:r>
    </w:p>
    <w:p>
      <w:pPr>
        <w:pStyle w:val="14"/>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Times New Roman" w:eastAsia="仿宋_GB2312" w:cs="Times New Roman"/>
          <w:color w:val="auto"/>
          <w:sz w:val="32"/>
          <w:szCs w:val="32"/>
          <w:lang w:val="en-US" w:eastAsia="zh-CN" w:bidi="ar-SA"/>
        </w:rPr>
      </w:pPr>
      <w:r>
        <w:rPr>
          <w:rFonts w:hint="eastAsia" w:ascii="仿宋_GB2312" w:hAnsi="Times New Roman" w:eastAsia="仿宋_GB2312" w:cs="Times New Roman"/>
          <w:color w:val="auto"/>
          <w:sz w:val="32"/>
          <w:szCs w:val="32"/>
          <w:lang w:val="en-US" w:eastAsia="zh-CN" w:bidi="ar-SA"/>
        </w:rPr>
        <w:t>办公设备购置</w:t>
      </w:r>
      <w:r>
        <w:rPr>
          <w:rFonts w:ascii="仿宋_GB2312" w:hAnsi="Times New Roman" w:eastAsia="仿宋_GB2312" w:cs="Times New Roman"/>
          <w:color w:val="auto"/>
          <w:sz w:val="32"/>
          <w:szCs w:val="32"/>
          <w:lang w:val="en-US" w:eastAsia="zh-CN" w:bidi="ar-SA"/>
        </w:rPr>
        <w:t>经费主要用于购置必需的办公设备，根据项目资金的性质和特点，我们选用成本效益分析法对项目进行评价。</w:t>
      </w:r>
    </w:p>
    <w:p>
      <w:pPr>
        <w:pStyle w:val="14"/>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Times New Roman" w:eastAsia="仿宋_GB2312"/>
          <w:color w:val="auto"/>
          <w:sz w:val="32"/>
          <w:szCs w:val="32"/>
          <w:lang w:val="en-US"/>
        </w:rPr>
      </w:pPr>
      <w:r>
        <w:rPr>
          <w:rFonts w:ascii="仿宋_GB2312" w:hAnsi="Times New Roman" w:eastAsia="仿宋_GB2312" w:cs="Times New Roman"/>
          <w:color w:val="auto"/>
          <w:sz w:val="32"/>
          <w:szCs w:val="32"/>
          <w:lang w:val="en-US" w:eastAsia="zh-CN" w:bidi="ar-SA"/>
        </w:rPr>
        <w:t>通过将项目的</w:t>
      </w:r>
      <w:r>
        <w:rPr>
          <w:rFonts w:hint="eastAsia" w:ascii="仿宋_GB2312" w:hAnsi="Times New Roman" w:eastAsia="仿宋_GB2312" w:cs="Times New Roman"/>
          <w:color w:val="auto"/>
          <w:sz w:val="32"/>
          <w:szCs w:val="32"/>
          <w:lang w:val="en-US" w:eastAsia="zh-CN" w:bidi="ar-SA"/>
        </w:rPr>
        <w:t>投入与产出、效益进行关联性分析，判断该项目是否可以达到所希望的目标，在调查阶段了解能实现该项目的各项可能的方案，然后收集信息，获取有关备选方案效果的资料，最后进行选择，定量财务指标分析、定量非财务指标分析以及定性指标分析，由管理人员判断决定各个方案的优劣次序，最后依据上述次序，作出决策。认为该项目可以达到预期的目标，项目的</w:t>
      </w:r>
      <w:r>
        <w:rPr>
          <w:rFonts w:ascii="仿宋_GB2312" w:hAnsi="Times New Roman" w:eastAsia="仿宋_GB2312" w:cs="Times New Roman"/>
          <w:color w:val="auto"/>
          <w:sz w:val="32"/>
          <w:szCs w:val="32"/>
          <w:lang w:val="en-US" w:eastAsia="zh-CN" w:bidi="ar-SA"/>
        </w:rPr>
        <w:t>实施能够产生社会效益。</w:t>
      </w:r>
    </w:p>
    <w:p>
      <w:pPr>
        <w:keepNext w:val="0"/>
        <w:keepLines w:val="0"/>
        <w:pageBreakBefore w:val="0"/>
        <w:numPr>
          <w:ilvl w:val="0"/>
          <w:numId w:val="4"/>
        </w:numPr>
        <w:kinsoku/>
        <w:wordWrap/>
        <w:overflowPunct/>
        <w:topLinePunct w:val="0"/>
        <w:autoSpaceDE/>
        <w:autoSpaceDN/>
        <w:bidi w:val="0"/>
        <w:adjustRightInd/>
        <w:snapToGrid/>
        <w:spacing w:line="560" w:lineRule="exact"/>
        <w:ind w:left="420"/>
        <w:textAlignment w:val="auto"/>
        <w:rPr>
          <w:rFonts w:ascii="仿宋_GB2312" w:hAnsi="Times New Roman" w:eastAsia="仿宋_GB2312"/>
          <w:color w:val="auto"/>
          <w:sz w:val="32"/>
          <w:szCs w:val="32"/>
        </w:rPr>
      </w:pPr>
      <w:r>
        <w:rPr>
          <w:rFonts w:hint="eastAsia" w:ascii="Times New Roman" w:hAnsi="Times New Roman" w:eastAsia="仿宋_GB2312"/>
          <w:bCs/>
          <w:color w:val="auto"/>
          <w:sz w:val="32"/>
          <w:szCs w:val="32"/>
        </w:rPr>
        <w:t>绩效</w:t>
      </w:r>
      <w:r>
        <w:rPr>
          <w:rFonts w:hint="eastAsia" w:ascii="仿宋_GB2312" w:hAnsi="Times New Roman" w:eastAsia="仿宋_GB2312"/>
          <w:color w:val="auto"/>
          <w:sz w:val="32"/>
          <w:szCs w:val="32"/>
        </w:rPr>
        <w:t>评价标准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olor w:val="auto"/>
          <w:sz w:val="32"/>
          <w:szCs w:val="32"/>
        </w:rPr>
      </w:pPr>
      <w:r>
        <w:rPr>
          <w:rFonts w:hint="eastAsia" w:ascii="仿宋_GB2312" w:hAnsi="Times New Roman" w:eastAsia="仿宋_GB2312"/>
          <w:color w:val="auto"/>
          <w:sz w:val="32"/>
          <w:szCs w:val="32"/>
        </w:rPr>
        <w:t>绩效评价标准通常包括计划标准、行业标准、历史标准等，用于对绩效指标完成情况进行比较。</w:t>
      </w:r>
    </w:p>
    <w:p>
      <w:pPr>
        <w:keepNext w:val="0"/>
        <w:keepLines w:val="0"/>
        <w:pageBreakBefore w:val="0"/>
        <w:kinsoku/>
        <w:wordWrap/>
        <w:overflowPunct/>
        <w:topLinePunct w:val="0"/>
        <w:autoSpaceDE/>
        <w:autoSpaceDN/>
        <w:bidi w:val="0"/>
        <w:adjustRightInd/>
        <w:snapToGrid/>
        <w:spacing w:line="560" w:lineRule="exact"/>
        <w:ind w:firstLine="480" w:firstLineChars="150"/>
        <w:textAlignment w:val="auto"/>
        <w:rPr>
          <w:rFonts w:ascii="仿宋_GB2312" w:hAnsi="Times New Roman" w:eastAsia="仿宋_GB2312"/>
          <w:color w:val="auto"/>
          <w:sz w:val="32"/>
          <w:szCs w:val="32"/>
        </w:rPr>
      </w:pPr>
      <w:r>
        <w:rPr>
          <w:rFonts w:hint="eastAsia" w:ascii="仿宋_GB2312" w:hAnsi="Times New Roman" w:eastAsia="仿宋_GB2312"/>
          <w:color w:val="auto"/>
          <w:sz w:val="32"/>
          <w:szCs w:val="32"/>
        </w:rPr>
        <w:t>（一）计划标准。指以预先制定的目标、计划、预算、定额等作为评价标准。</w:t>
      </w:r>
    </w:p>
    <w:p>
      <w:pPr>
        <w:keepNext w:val="0"/>
        <w:keepLines w:val="0"/>
        <w:pageBreakBefore w:val="0"/>
        <w:kinsoku/>
        <w:wordWrap/>
        <w:overflowPunct/>
        <w:topLinePunct w:val="0"/>
        <w:autoSpaceDE/>
        <w:autoSpaceDN/>
        <w:bidi w:val="0"/>
        <w:adjustRightInd/>
        <w:snapToGrid/>
        <w:spacing w:line="560" w:lineRule="exact"/>
        <w:ind w:firstLine="480" w:firstLineChars="150"/>
        <w:textAlignment w:val="auto"/>
        <w:rPr>
          <w:rFonts w:ascii="仿宋_GB2312" w:hAnsi="Times New Roman" w:eastAsia="仿宋_GB2312"/>
          <w:color w:val="auto"/>
          <w:sz w:val="32"/>
          <w:szCs w:val="32"/>
        </w:rPr>
      </w:pPr>
      <w:r>
        <w:rPr>
          <w:rFonts w:hint="eastAsia" w:ascii="仿宋_GB2312" w:hAnsi="Times New Roman" w:eastAsia="仿宋_GB2312"/>
          <w:color w:val="auto"/>
          <w:sz w:val="32"/>
          <w:szCs w:val="32"/>
        </w:rPr>
        <w:t>（二）行业标准。指参照国家公布的行业指标数据制定的评价标准。</w:t>
      </w:r>
    </w:p>
    <w:p>
      <w:pPr>
        <w:keepNext w:val="0"/>
        <w:keepLines w:val="0"/>
        <w:pageBreakBefore w:val="0"/>
        <w:kinsoku/>
        <w:wordWrap/>
        <w:overflowPunct/>
        <w:topLinePunct w:val="0"/>
        <w:autoSpaceDE/>
        <w:autoSpaceDN/>
        <w:bidi w:val="0"/>
        <w:adjustRightInd/>
        <w:snapToGrid/>
        <w:spacing w:line="560" w:lineRule="exact"/>
        <w:ind w:firstLine="480" w:firstLineChars="150"/>
        <w:textAlignment w:val="auto"/>
        <w:rPr>
          <w:rFonts w:ascii="仿宋_GB2312" w:hAnsi="Times New Roman" w:eastAsia="仿宋_GB2312"/>
          <w:color w:val="auto"/>
          <w:sz w:val="32"/>
          <w:szCs w:val="32"/>
        </w:rPr>
      </w:pPr>
      <w:r>
        <w:rPr>
          <w:rFonts w:hint="eastAsia" w:ascii="仿宋_GB2312" w:hAnsi="Times New Roman" w:eastAsia="仿宋_GB2312"/>
          <w:color w:val="auto"/>
          <w:sz w:val="32"/>
          <w:szCs w:val="32"/>
        </w:rPr>
        <w:t>（三）历史标准。指参照历史数据制定的评价标准，为体现绩效改进的原则，在可实现的条件下应当确定相对较高的评价标准。</w:t>
      </w:r>
    </w:p>
    <w:p>
      <w:pPr>
        <w:keepNext w:val="0"/>
        <w:keepLines w:val="0"/>
        <w:pageBreakBefore w:val="0"/>
        <w:kinsoku/>
        <w:wordWrap/>
        <w:overflowPunct/>
        <w:topLinePunct w:val="0"/>
        <w:autoSpaceDE/>
        <w:autoSpaceDN/>
        <w:bidi w:val="0"/>
        <w:adjustRightInd/>
        <w:snapToGrid/>
        <w:spacing w:line="560" w:lineRule="exact"/>
        <w:ind w:firstLine="480" w:firstLineChars="150"/>
        <w:textAlignment w:val="auto"/>
        <w:rPr>
          <w:rFonts w:ascii="仿宋_GB2312" w:hAnsi="Times New Roman" w:eastAsia="仿宋_GB2312"/>
          <w:color w:val="auto"/>
          <w:sz w:val="32"/>
          <w:szCs w:val="32"/>
        </w:rPr>
      </w:pPr>
      <w:r>
        <w:rPr>
          <w:rFonts w:hint="eastAsia" w:ascii="仿宋_GB2312" w:hAnsi="Times New Roman" w:eastAsia="仿宋_GB2312"/>
          <w:color w:val="auto"/>
          <w:sz w:val="32"/>
          <w:szCs w:val="32"/>
        </w:rPr>
        <w:t>（四）财政部门和预算部门确认或认可的其他标准。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olor w:val="auto"/>
          <w:sz w:val="32"/>
          <w:szCs w:val="32"/>
        </w:rPr>
      </w:pPr>
      <w:r>
        <w:rPr>
          <w:rFonts w:hint="eastAsia" w:ascii="仿宋_GB2312" w:hAnsi="Times New Roman" w:eastAsia="仿宋_GB2312"/>
          <w:color w:val="auto"/>
          <w:sz w:val="32"/>
          <w:szCs w:val="32"/>
        </w:rPr>
        <w:t>办公设备购置项目属于经常性项目，故采用计划标准，按照预算制定的目标和预算评价该项目。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olor w:val="auto"/>
          <w:sz w:val="32"/>
          <w:szCs w:val="32"/>
        </w:rPr>
      </w:pPr>
      <w:r>
        <w:rPr>
          <w:rFonts w:hint="eastAsia" w:ascii="仿宋_GB2312" w:hAnsi="Times New Roman" w:eastAsia="仿宋_GB2312"/>
          <w:color w:val="auto"/>
          <w:sz w:val="32"/>
          <w:szCs w:val="32"/>
        </w:rPr>
        <w:t>（三）绩效评价工作过程。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olor w:val="auto"/>
          <w:sz w:val="32"/>
          <w:szCs w:val="32"/>
        </w:rPr>
      </w:pPr>
      <w:bookmarkStart w:id="8" w:name="bookmark78"/>
      <w:r>
        <w:rPr>
          <w:rFonts w:hint="eastAsia" w:ascii="仿宋_GB2312" w:hAnsi="Times New Roman" w:eastAsia="仿宋_GB2312"/>
          <w:color w:val="auto"/>
          <w:sz w:val="32"/>
          <w:szCs w:val="32"/>
        </w:rPr>
        <w:t>1</w:t>
      </w:r>
      <w:bookmarkEnd w:id="8"/>
      <w:r>
        <w:rPr>
          <w:rFonts w:hint="eastAsia" w:ascii="仿宋_GB2312" w:hAnsi="Times New Roman" w:eastAsia="仿宋_GB2312"/>
          <w:color w:val="auto"/>
          <w:sz w:val="32"/>
          <w:szCs w:val="32"/>
        </w:rPr>
        <w:t>、前期准备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olor w:val="auto"/>
          <w:sz w:val="32"/>
          <w:szCs w:val="32"/>
        </w:rPr>
      </w:pPr>
      <w:r>
        <w:rPr>
          <w:rFonts w:hint="eastAsia" w:ascii="仿宋_GB2312" w:hAnsi="Times New Roman" w:eastAsia="仿宋_GB2312"/>
          <w:color w:val="auto"/>
          <w:sz w:val="32"/>
          <w:szCs w:val="32"/>
        </w:rPr>
        <w:t>2018年11月29日,开始前期准备工作，评价组通过对评价对象前期调研，确定了评价的目的、方法以及评价的原则，根据项目的内容和特征制定了评价指标体系及评价标准以及评价实施方案，修正并确定所需资料清单，最终确定实施方案。</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olor w:val="auto"/>
          <w:sz w:val="32"/>
          <w:szCs w:val="32"/>
        </w:rPr>
      </w:pPr>
      <w:bookmarkStart w:id="9" w:name="bookmark79"/>
      <w:r>
        <w:rPr>
          <w:rFonts w:hint="eastAsia" w:ascii="仿宋_GB2312" w:hAnsi="Times New Roman" w:eastAsia="仿宋_GB2312"/>
          <w:color w:val="auto"/>
          <w:sz w:val="32"/>
          <w:szCs w:val="32"/>
        </w:rPr>
        <w:t>2</w:t>
      </w:r>
      <w:bookmarkEnd w:id="9"/>
      <w:r>
        <w:rPr>
          <w:rFonts w:hint="eastAsia" w:ascii="仿宋_GB2312" w:hAnsi="Times New Roman" w:eastAsia="仿宋_GB2312"/>
          <w:color w:val="auto"/>
          <w:sz w:val="32"/>
          <w:szCs w:val="32"/>
        </w:rPr>
        <w:t>、组织实施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olor w:val="auto"/>
          <w:sz w:val="32"/>
          <w:szCs w:val="32"/>
        </w:rPr>
      </w:pPr>
      <w:r>
        <w:rPr>
          <w:rFonts w:hint="eastAsia" w:ascii="仿宋_GB2312" w:hAnsi="Times New Roman" w:eastAsia="仿宋_GB2312"/>
          <w:color w:val="auto"/>
          <w:sz w:val="32"/>
          <w:szCs w:val="32"/>
          <w:lang w:val="zh-CN"/>
        </w:rPr>
        <w:t>2018</w:t>
      </w:r>
      <w:r>
        <w:rPr>
          <w:rFonts w:hint="eastAsia" w:ascii="仿宋_GB2312" w:hAnsi="Times New Roman" w:eastAsia="仿宋_GB2312"/>
          <w:color w:val="auto"/>
          <w:sz w:val="32"/>
          <w:szCs w:val="32"/>
        </w:rPr>
        <w:t>年</w:t>
      </w:r>
      <w:r>
        <w:rPr>
          <w:rFonts w:hint="eastAsia" w:ascii="仿宋_GB2312" w:hAnsi="Times New Roman" w:eastAsia="仿宋_GB2312"/>
          <w:color w:val="auto"/>
          <w:sz w:val="32"/>
          <w:szCs w:val="32"/>
          <w:lang w:val="zh-CN"/>
        </w:rPr>
        <w:t>11</w:t>
      </w:r>
      <w:r>
        <w:rPr>
          <w:rFonts w:hint="eastAsia" w:ascii="仿宋_GB2312" w:hAnsi="Times New Roman" w:eastAsia="仿宋_GB2312"/>
          <w:color w:val="auto"/>
          <w:sz w:val="32"/>
          <w:szCs w:val="32"/>
        </w:rPr>
        <w:t>月</w:t>
      </w:r>
      <w:r>
        <w:rPr>
          <w:rFonts w:hint="eastAsia" w:ascii="仿宋_GB2312" w:hAnsi="Times New Roman" w:eastAsia="仿宋_GB2312"/>
          <w:color w:val="auto"/>
          <w:sz w:val="32"/>
          <w:szCs w:val="32"/>
          <w:lang w:val="zh-CN"/>
        </w:rPr>
        <w:t>29</w:t>
      </w:r>
      <w:r>
        <w:rPr>
          <w:rFonts w:hint="eastAsia" w:ascii="仿宋_GB2312" w:hAnsi="Times New Roman" w:eastAsia="仿宋_GB2312"/>
          <w:color w:val="auto"/>
          <w:sz w:val="32"/>
          <w:szCs w:val="32"/>
        </w:rPr>
        <w:t>日-</w:t>
      </w:r>
      <w:r>
        <w:rPr>
          <w:rFonts w:hint="eastAsia" w:ascii="仿宋_GB2312" w:hAnsi="Times New Roman" w:eastAsia="仿宋_GB2312"/>
          <w:color w:val="auto"/>
          <w:sz w:val="32"/>
          <w:szCs w:val="32"/>
          <w:lang w:val="zh-CN"/>
        </w:rPr>
        <w:t>12</w:t>
      </w:r>
      <w:r>
        <w:rPr>
          <w:rFonts w:hint="eastAsia" w:ascii="仿宋_GB2312" w:hAnsi="Times New Roman" w:eastAsia="仿宋_GB2312"/>
          <w:color w:val="auto"/>
          <w:sz w:val="32"/>
          <w:szCs w:val="32"/>
        </w:rPr>
        <w:t>月</w:t>
      </w:r>
      <w:r>
        <w:rPr>
          <w:rFonts w:hint="eastAsia" w:ascii="仿宋_GB2312" w:hAnsi="Times New Roman" w:eastAsia="仿宋_GB2312"/>
          <w:color w:val="auto"/>
          <w:sz w:val="32"/>
          <w:szCs w:val="32"/>
          <w:lang w:val="zh-CN"/>
        </w:rPr>
        <w:t>4</w:t>
      </w:r>
      <w:r>
        <w:rPr>
          <w:rFonts w:hint="eastAsia" w:ascii="仿宋_GB2312" w:hAnsi="Times New Roman" w:eastAsia="仿宋_GB2312"/>
          <w:color w:val="auto"/>
          <w:sz w:val="32"/>
          <w:szCs w:val="32"/>
        </w:rPr>
        <w:t>日，评价工作进入实施阶段。 在数据采集方面，评价组整理单位前期提交的资料，与项目实施负责人沟通，了解资金的内容、操作流程、管理机制、资金使用方向等情况；进行信息采集，了解项目设置背景及资金使用等情况</w:t>
      </w:r>
      <w:bookmarkStart w:id="10" w:name="bookmark80"/>
      <w:r>
        <w:rPr>
          <w:rFonts w:hint="eastAsia" w:ascii="仿宋_GB2312" w:hAnsi="Times New Roman" w:eastAsia="仿宋_GB2312"/>
          <w:color w:val="auto"/>
          <w:sz w:val="32"/>
          <w:szCs w:val="32"/>
        </w:rPr>
        <w:t xml:space="preserve">。   </w:t>
      </w:r>
      <w:bookmarkEnd w:id="10"/>
      <w:r>
        <w:rPr>
          <w:rFonts w:hint="eastAsia" w:ascii="仿宋_GB2312" w:hAnsi="Times New Roman" w:eastAsia="仿宋_GB2312"/>
          <w:color w:val="auto"/>
          <w:sz w:val="32"/>
          <w:szCs w:val="32"/>
        </w:rPr>
        <w:t xml:space="preserve">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olor w:val="auto"/>
          <w:sz w:val="32"/>
          <w:szCs w:val="32"/>
        </w:rPr>
      </w:pPr>
      <w:r>
        <w:rPr>
          <w:rFonts w:hint="eastAsia" w:ascii="仿宋_GB2312" w:hAnsi="Times New Roman" w:eastAsia="仿宋_GB2312"/>
          <w:color w:val="auto"/>
          <w:sz w:val="32"/>
          <w:szCs w:val="32"/>
        </w:rPr>
        <w:t>3、分析评价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olor w:val="auto"/>
          <w:sz w:val="32"/>
          <w:szCs w:val="32"/>
        </w:rPr>
      </w:pPr>
      <w:r>
        <w:rPr>
          <w:rFonts w:hint="eastAsia" w:ascii="仿宋_GB2312" w:hAnsi="Times New Roman" w:eastAsia="仿宋_GB2312"/>
          <w:color w:val="auto"/>
          <w:sz w:val="32"/>
          <w:szCs w:val="32"/>
        </w:rPr>
        <w:t>2018年12月6日-12月13日，评价组按照绩效评价的原则和规范，对取得的资料进行审查核实，对采集的数据进行分析，按照绩效评价指标评分表逐项进行打分、分析，汇总各方评价结果，综合分析并形成评价结论。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olor w:val="auto"/>
          <w:sz w:val="32"/>
          <w:szCs w:val="32"/>
        </w:rPr>
      </w:pPr>
      <w:r>
        <w:rPr>
          <w:rFonts w:hint="eastAsia" w:ascii="黑体" w:hAnsi="黑体" w:eastAsia="黑体"/>
          <w:color w:val="auto"/>
          <w:sz w:val="32"/>
          <w:szCs w:val="32"/>
        </w:rPr>
        <w:t>三、综合评价情况及评价结论</w:t>
      </w:r>
    </w:p>
    <w:p>
      <w:pPr>
        <w:pStyle w:val="14"/>
        <w:keepNext w:val="0"/>
        <w:keepLines w:val="0"/>
        <w:pageBreakBefore w:val="0"/>
        <w:kinsoku/>
        <w:wordWrap/>
        <w:overflowPunct/>
        <w:topLinePunct w:val="0"/>
        <w:autoSpaceDE/>
        <w:autoSpaceDN/>
        <w:bidi w:val="0"/>
        <w:adjustRightInd/>
        <w:snapToGrid/>
        <w:spacing w:line="560" w:lineRule="exact"/>
        <w:textAlignment w:val="auto"/>
        <w:rPr>
          <w:rFonts w:ascii="仿宋_GB2312" w:hAnsi="Times New Roman" w:eastAsia="仿宋_GB2312" w:cs="Times New Roman"/>
          <w:b/>
          <w:color w:val="auto"/>
          <w:sz w:val="32"/>
          <w:szCs w:val="32"/>
          <w:lang w:val="en-US" w:eastAsia="zh-CN" w:bidi="ar-SA"/>
        </w:rPr>
      </w:pPr>
      <w:r>
        <w:rPr>
          <w:rFonts w:hint="eastAsia" w:ascii="仿宋_GB2312" w:hAnsi="Times New Roman" w:eastAsia="仿宋_GB2312" w:cs="Times New Roman"/>
          <w:b/>
          <w:color w:val="auto"/>
          <w:sz w:val="32"/>
          <w:szCs w:val="32"/>
          <w:lang w:val="en-US" w:eastAsia="zh-CN" w:bidi="ar-SA"/>
        </w:rPr>
        <w:t>（一）综合评价情况</w:t>
      </w:r>
    </w:p>
    <w:p>
      <w:pPr>
        <w:pStyle w:val="14"/>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color w:val="auto"/>
          <w:sz w:val="32"/>
          <w:szCs w:val="32"/>
          <w:lang w:val="en-US" w:eastAsia="zh-CN" w:bidi="ar-SA"/>
        </w:rPr>
      </w:pPr>
      <w:r>
        <w:rPr>
          <w:rFonts w:hint="eastAsia" w:ascii="仿宋_GB2312" w:hAnsi="Times New Roman" w:eastAsia="仿宋_GB2312" w:cs="Times New Roman"/>
          <w:color w:val="auto"/>
          <w:sz w:val="32"/>
          <w:szCs w:val="32"/>
          <w:lang w:val="en-US" w:eastAsia="zh-CN" w:bidi="ar-SA"/>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办公设备购置经费项目综合得分为100分。</w:t>
      </w:r>
    </w:p>
    <w:p>
      <w:pPr>
        <w:pStyle w:val="14"/>
        <w:keepNext w:val="0"/>
        <w:keepLines w:val="0"/>
        <w:pageBreakBefore w:val="0"/>
        <w:kinsoku/>
        <w:wordWrap/>
        <w:overflowPunct/>
        <w:topLinePunct w:val="0"/>
        <w:autoSpaceDE/>
        <w:autoSpaceDN/>
        <w:bidi w:val="0"/>
        <w:adjustRightInd/>
        <w:snapToGrid/>
        <w:spacing w:line="560" w:lineRule="exact"/>
        <w:ind w:firstLine="585" w:firstLineChars="182"/>
        <w:textAlignment w:val="auto"/>
        <w:rPr>
          <w:rFonts w:ascii="仿宋_GB2312" w:hAnsi="Times New Roman" w:eastAsia="仿宋_GB2312" w:cs="Times New Roman"/>
          <w:b/>
          <w:color w:val="auto"/>
          <w:sz w:val="32"/>
          <w:szCs w:val="32"/>
          <w:lang w:val="en-US" w:eastAsia="zh-CN" w:bidi="ar-SA"/>
        </w:rPr>
      </w:pPr>
      <w:r>
        <w:rPr>
          <w:rFonts w:hint="eastAsia" w:ascii="仿宋_GB2312" w:hAnsi="Times New Roman" w:eastAsia="仿宋_GB2312" w:cs="Times New Roman"/>
          <w:b/>
          <w:color w:val="auto"/>
          <w:sz w:val="32"/>
          <w:szCs w:val="32"/>
          <w:lang w:val="zh-CN" w:eastAsia="zh-CN" w:bidi="ar-SA"/>
        </w:rPr>
        <w:t>2019</w:t>
      </w:r>
      <w:r>
        <w:rPr>
          <w:rFonts w:hint="eastAsia" w:ascii="仿宋_GB2312" w:hAnsi="Times New Roman" w:eastAsia="仿宋_GB2312" w:cs="Times New Roman"/>
          <w:b/>
          <w:color w:val="auto"/>
          <w:sz w:val="32"/>
          <w:szCs w:val="32"/>
          <w:lang w:val="en-US" w:eastAsia="zh-CN" w:bidi="ar-SA"/>
        </w:rPr>
        <w:t>年办公设备购置经费项目评价得分情况</w:t>
      </w:r>
    </w:p>
    <w:tbl>
      <w:tblPr>
        <w:tblStyle w:val="7"/>
        <w:tblW w:w="9309" w:type="dxa"/>
        <w:jc w:val="center"/>
        <w:tblLayout w:type="fixed"/>
        <w:tblCellMar>
          <w:top w:w="0" w:type="dxa"/>
          <w:left w:w="10" w:type="dxa"/>
          <w:bottom w:w="0" w:type="dxa"/>
          <w:right w:w="10" w:type="dxa"/>
        </w:tblCellMar>
      </w:tblPr>
      <w:tblGrid>
        <w:gridCol w:w="1447"/>
        <w:gridCol w:w="2045"/>
        <w:gridCol w:w="1951"/>
        <w:gridCol w:w="3866"/>
      </w:tblGrid>
      <w:tr>
        <w:tblPrEx>
          <w:tblCellMar>
            <w:top w:w="0" w:type="dxa"/>
            <w:left w:w="10" w:type="dxa"/>
            <w:bottom w:w="0" w:type="dxa"/>
            <w:right w:w="10" w:type="dxa"/>
          </w:tblCellMar>
        </w:tblPrEx>
        <w:trPr>
          <w:trHeight w:val="749" w:hRule="exact"/>
          <w:jc w:val="center"/>
        </w:trPr>
        <w:tc>
          <w:tcPr>
            <w:tcW w:w="1447" w:type="dxa"/>
            <w:tcBorders>
              <w:top w:val="single" w:color="auto" w:sz="4" w:space="0"/>
              <w:left w:val="single" w:color="auto" w:sz="4" w:space="0"/>
            </w:tcBorders>
            <w:shd w:val="clear" w:color="auto" w:fill="FFFFFF"/>
            <w:vAlign w:val="center"/>
          </w:tcPr>
          <w:p>
            <w:pPr>
              <w:pStyle w:val="15"/>
              <w:keepNext w:val="0"/>
              <w:keepLines w:val="0"/>
              <w:pageBreakBefore w:val="0"/>
              <w:kinsoku/>
              <w:wordWrap/>
              <w:overflowPunct/>
              <w:topLinePunct w:val="0"/>
              <w:autoSpaceDE/>
              <w:autoSpaceDN/>
              <w:bidi w:val="0"/>
              <w:adjustRightInd/>
              <w:snapToGrid/>
              <w:spacing w:line="560" w:lineRule="exact"/>
              <w:ind w:firstLine="0"/>
              <w:jc w:val="center"/>
              <w:textAlignment w:val="auto"/>
              <w:rPr>
                <w:rFonts w:ascii="仿宋_GB2312" w:hAnsi="Times New Roman" w:eastAsia="仿宋_GB2312" w:cs="Times New Roman"/>
                <w:color w:val="auto"/>
                <w:sz w:val="32"/>
                <w:szCs w:val="32"/>
                <w:lang w:val="en-US" w:eastAsia="zh-CN" w:bidi="ar-SA"/>
              </w:rPr>
            </w:pPr>
            <w:r>
              <w:rPr>
                <w:rFonts w:hint="eastAsia" w:ascii="仿宋_GB2312" w:hAnsi="Times New Roman" w:eastAsia="仿宋_GB2312" w:cs="Times New Roman"/>
                <w:color w:val="auto"/>
                <w:sz w:val="32"/>
                <w:szCs w:val="32"/>
                <w:lang w:val="en-US" w:eastAsia="zh-CN" w:bidi="ar-SA"/>
              </w:rPr>
              <w:t>指标类别</w:t>
            </w:r>
          </w:p>
        </w:tc>
        <w:tc>
          <w:tcPr>
            <w:tcW w:w="2045" w:type="dxa"/>
            <w:tcBorders>
              <w:top w:val="single" w:color="auto" w:sz="4" w:space="0"/>
              <w:left w:val="single" w:color="auto" w:sz="4" w:space="0"/>
            </w:tcBorders>
            <w:shd w:val="clear" w:color="auto" w:fill="FFFFFF"/>
            <w:vAlign w:val="center"/>
          </w:tcPr>
          <w:p>
            <w:pPr>
              <w:pStyle w:val="15"/>
              <w:keepNext w:val="0"/>
              <w:keepLines w:val="0"/>
              <w:pageBreakBefore w:val="0"/>
              <w:kinsoku/>
              <w:wordWrap/>
              <w:overflowPunct/>
              <w:topLinePunct w:val="0"/>
              <w:autoSpaceDE/>
              <w:autoSpaceDN/>
              <w:bidi w:val="0"/>
              <w:adjustRightInd/>
              <w:snapToGrid/>
              <w:spacing w:line="560" w:lineRule="exact"/>
              <w:ind w:firstLine="0"/>
              <w:jc w:val="center"/>
              <w:textAlignment w:val="auto"/>
              <w:rPr>
                <w:rFonts w:ascii="仿宋_GB2312" w:hAnsi="Times New Roman" w:eastAsia="仿宋_GB2312" w:cs="Times New Roman"/>
                <w:color w:val="auto"/>
                <w:sz w:val="32"/>
                <w:szCs w:val="32"/>
                <w:lang w:val="en-US" w:eastAsia="zh-CN" w:bidi="ar-SA"/>
              </w:rPr>
            </w:pPr>
            <w:r>
              <w:rPr>
                <w:rFonts w:hint="eastAsia" w:ascii="仿宋_GB2312" w:hAnsi="Times New Roman" w:eastAsia="仿宋_GB2312" w:cs="Times New Roman"/>
                <w:color w:val="auto"/>
                <w:sz w:val="32"/>
                <w:szCs w:val="32"/>
                <w:lang w:val="en-US" w:eastAsia="zh-CN" w:bidi="ar-SA"/>
              </w:rPr>
              <w:t>分值</w:t>
            </w:r>
          </w:p>
        </w:tc>
        <w:tc>
          <w:tcPr>
            <w:tcW w:w="1951" w:type="dxa"/>
            <w:tcBorders>
              <w:top w:val="single" w:color="auto" w:sz="4" w:space="0"/>
              <w:left w:val="single" w:color="auto" w:sz="4" w:space="0"/>
            </w:tcBorders>
            <w:shd w:val="clear" w:color="auto" w:fill="FFFFFF"/>
            <w:vAlign w:val="center"/>
          </w:tcPr>
          <w:p>
            <w:pPr>
              <w:pStyle w:val="15"/>
              <w:keepNext w:val="0"/>
              <w:keepLines w:val="0"/>
              <w:pageBreakBefore w:val="0"/>
              <w:kinsoku/>
              <w:wordWrap/>
              <w:overflowPunct/>
              <w:topLinePunct w:val="0"/>
              <w:autoSpaceDE/>
              <w:autoSpaceDN/>
              <w:bidi w:val="0"/>
              <w:adjustRightInd/>
              <w:snapToGrid/>
              <w:spacing w:line="560" w:lineRule="exact"/>
              <w:ind w:firstLine="0"/>
              <w:jc w:val="center"/>
              <w:textAlignment w:val="auto"/>
              <w:rPr>
                <w:rFonts w:ascii="仿宋_GB2312" w:hAnsi="Times New Roman" w:eastAsia="仿宋_GB2312" w:cs="Times New Roman"/>
                <w:color w:val="auto"/>
                <w:sz w:val="32"/>
                <w:szCs w:val="32"/>
                <w:lang w:val="en-US" w:eastAsia="zh-CN" w:bidi="ar-SA"/>
              </w:rPr>
            </w:pPr>
            <w:r>
              <w:rPr>
                <w:rFonts w:hint="eastAsia" w:ascii="仿宋_GB2312" w:hAnsi="Times New Roman" w:eastAsia="仿宋_GB2312" w:cs="Times New Roman"/>
                <w:color w:val="auto"/>
                <w:sz w:val="32"/>
                <w:szCs w:val="32"/>
                <w:lang w:val="en-US" w:eastAsia="zh-CN" w:bidi="ar-SA"/>
              </w:rPr>
              <w:t>评价得分</w:t>
            </w:r>
          </w:p>
        </w:tc>
        <w:tc>
          <w:tcPr>
            <w:tcW w:w="3866" w:type="dxa"/>
            <w:tcBorders>
              <w:top w:val="single" w:color="auto" w:sz="4" w:space="0"/>
              <w:left w:val="single" w:color="auto" w:sz="4" w:space="0"/>
              <w:right w:val="single" w:color="auto" w:sz="4" w:space="0"/>
            </w:tcBorders>
            <w:shd w:val="clear" w:color="auto" w:fill="FFFFFF"/>
            <w:vAlign w:val="center"/>
          </w:tcPr>
          <w:p>
            <w:pPr>
              <w:pStyle w:val="15"/>
              <w:keepNext w:val="0"/>
              <w:keepLines w:val="0"/>
              <w:pageBreakBefore w:val="0"/>
              <w:kinsoku/>
              <w:wordWrap/>
              <w:overflowPunct/>
              <w:topLinePunct w:val="0"/>
              <w:autoSpaceDE/>
              <w:autoSpaceDN/>
              <w:bidi w:val="0"/>
              <w:adjustRightInd/>
              <w:snapToGrid/>
              <w:spacing w:line="560" w:lineRule="exact"/>
              <w:ind w:firstLine="0"/>
              <w:jc w:val="center"/>
              <w:textAlignment w:val="auto"/>
              <w:rPr>
                <w:rFonts w:ascii="仿宋_GB2312" w:hAnsi="Times New Roman" w:eastAsia="仿宋_GB2312" w:cs="Times New Roman"/>
                <w:color w:val="auto"/>
                <w:sz w:val="32"/>
                <w:szCs w:val="32"/>
                <w:lang w:val="en-US" w:eastAsia="zh-CN" w:bidi="ar-SA"/>
              </w:rPr>
            </w:pPr>
            <w:r>
              <w:rPr>
                <w:rFonts w:hint="eastAsia" w:ascii="仿宋_GB2312" w:hAnsi="Times New Roman" w:eastAsia="仿宋_GB2312" w:cs="Times New Roman"/>
                <w:color w:val="auto"/>
                <w:sz w:val="32"/>
                <w:szCs w:val="32"/>
                <w:lang w:val="en-US" w:eastAsia="zh-CN" w:bidi="ar-SA"/>
              </w:rPr>
              <w:t>备注</w:t>
            </w:r>
          </w:p>
        </w:tc>
      </w:tr>
      <w:tr>
        <w:tblPrEx>
          <w:tblCellMar>
            <w:top w:w="0" w:type="dxa"/>
            <w:left w:w="10" w:type="dxa"/>
            <w:bottom w:w="0" w:type="dxa"/>
            <w:right w:w="10" w:type="dxa"/>
          </w:tblCellMar>
        </w:tblPrEx>
        <w:trPr>
          <w:trHeight w:val="758" w:hRule="exact"/>
          <w:jc w:val="center"/>
        </w:trPr>
        <w:tc>
          <w:tcPr>
            <w:tcW w:w="1447" w:type="dxa"/>
            <w:tcBorders>
              <w:top w:val="single" w:color="auto" w:sz="4" w:space="0"/>
              <w:left w:val="single" w:color="auto" w:sz="4" w:space="0"/>
            </w:tcBorders>
            <w:shd w:val="clear" w:color="auto" w:fill="FFFFFF"/>
            <w:vAlign w:val="center"/>
          </w:tcPr>
          <w:p>
            <w:pPr>
              <w:pStyle w:val="15"/>
              <w:keepNext w:val="0"/>
              <w:keepLines w:val="0"/>
              <w:pageBreakBefore w:val="0"/>
              <w:kinsoku/>
              <w:wordWrap/>
              <w:overflowPunct/>
              <w:topLinePunct w:val="0"/>
              <w:autoSpaceDE/>
              <w:autoSpaceDN/>
              <w:bidi w:val="0"/>
              <w:adjustRightInd/>
              <w:snapToGrid/>
              <w:spacing w:line="560" w:lineRule="exact"/>
              <w:ind w:firstLine="0"/>
              <w:jc w:val="center"/>
              <w:textAlignment w:val="auto"/>
              <w:rPr>
                <w:rFonts w:ascii="仿宋_GB2312" w:hAnsi="Times New Roman" w:eastAsia="仿宋_GB2312" w:cs="Times New Roman"/>
                <w:color w:val="auto"/>
                <w:sz w:val="32"/>
                <w:szCs w:val="32"/>
                <w:lang w:val="en-US" w:eastAsia="zh-CN" w:bidi="ar-SA"/>
              </w:rPr>
            </w:pPr>
            <w:r>
              <w:rPr>
                <w:rFonts w:hint="eastAsia" w:ascii="仿宋_GB2312" w:hAnsi="Times New Roman" w:eastAsia="仿宋_GB2312" w:cs="Times New Roman"/>
                <w:color w:val="auto"/>
                <w:sz w:val="32"/>
                <w:szCs w:val="32"/>
                <w:lang w:val="en-US" w:eastAsia="zh-CN" w:bidi="ar-SA"/>
              </w:rPr>
              <w:t>决策</w:t>
            </w:r>
          </w:p>
        </w:tc>
        <w:tc>
          <w:tcPr>
            <w:tcW w:w="2045" w:type="dxa"/>
            <w:tcBorders>
              <w:top w:val="single" w:color="auto" w:sz="4" w:space="0"/>
              <w:left w:val="single" w:color="auto" w:sz="4" w:space="0"/>
            </w:tcBorders>
            <w:shd w:val="clear" w:color="auto" w:fill="FFFFFF"/>
            <w:vAlign w:val="center"/>
          </w:tcPr>
          <w:p>
            <w:pPr>
              <w:pStyle w:val="15"/>
              <w:keepNext w:val="0"/>
              <w:keepLines w:val="0"/>
              <w:pageBreakBefore w:val="0"/>
              <w:kinsoku/>
              <w:wordWrap/>
              <w:overflowPunct/>
              <w:topLinePunct w:val="0"/>
              <w:autoSpaceDE/>
              <w:autoSpaceDN/>
              <w:bidi w:val="0"/>
              <w:adjustRightInd/>
              <w:snapToGrid/>
              <w:spacing w:line="560" w:lineRule="exact"/>
              <w:ind w:firstLine="0"/>
              <w:jc w:val="center"/>
              <w:textAlignment w:val="auto"/>
              <w:rPr>
                <w:rFonts w:ascii="仿宋_GB2312" w:hAnsi="Times New Roman" w:eastAsia="仿宋_GB2312" w:cs="Times New Roman"/>
                <w:color w:val="auto"/>
                <w:sz w:val="32"/>
                <w:szCs w:val="32"/>
                <w:lang w:val="en-US" w:eastAsia="zh-CN" w:bidi="ar-SA"/>
              </w:rPr>
            </w:pPr>
            <w:r>
              <w:rPr>
                <w:rFonts w:hint="eastAsia" w:ascii="仿宋_GB2312" w:hAnsi="Times New Roman" w:eastAsia="仿宋_GB2312" w:cs="Times New Roman"/>
                <w:color w:val="auto"/>
                <w:sz w:val="32"/>
                <w:szCs w:val="32"/>
                <w:lang w:val="en-US" w:eastAsia="zh-CN" w:bidi="ar-SA"/>
              </w:rPr>
              <w:t>20</w:t>
            </w:r>
          </w:p>
        </w:tc>
        <w:tc>
          <w:tcPr>
            <w:tcW w:w="1951" w:type="dxa"/>
            <w:tcBorders>
              <w:top w:val="single" w:color="auto" w:sz="4" w:space="0"/>
              <w:left w:val="single" w:color="auto" w:sz="4" w:space="0"/>
            </w:tcBorders>
            <w:shd w:val="clear" w:color="auto" w:fill="FFFFFF"/>
            <w:vAlign w:val="center"/>
          </w:tcPr>
          <w:p>
            <w:pPr>
              <w:pStyle w:val="15"/>
              <w:keepNext w:val="0"/>
              <w:keepLines w:val="0"/>
              <w:pageBreakBefore w:val="0"/>
              <w:kinsoku/>
              <w:wordWrap/>
              <w:overflowPunct/>
              <w:topLinePunct w:val="0"/>
              <w:autoSpaceDE/>
              <w:autoSpaceDN/>
              <w:bidi w:val="0"/>
              <w:adjustRightInd/>
              <w:snapToGrid/>
              <w:spacing w:line="560" w:lineRule="exact"/>
              <w:ind w:firstLine="0"/>
              <w:jc w:val="center"/>
              <w:textAlignment w:val="auto"/>
              <w:rPr>
                <w:rFonts w:ascii="仿宋_GB2312" w:hAnsi="Times New Roman" w:eastAsia="仿宋_GB2312" w:cs="Times New Roman"/>
                <w:color w:val="auto"/>
                <w:sz w:val="32"/>
                <w:szCs w:val="32"/>
                <w:lang w:val="en-US" w:eastAsia="zh-CN" w:bidi="ar-SA"/>
              </w:rPr>
            </w:pPr>
            <w:r>
              <w:rPr>
                <w:rFonts w:hint="eastAsia" w:ascii="仿宋_GB2312" w:hAnsi="Times New Roman" w:eastAsia="仿宋_GB2312" w:cs="Times New Roman"/>
                <w:color w:val="auto"/>
                <w:sz w:val="32"/>
                <w:szCs w:val="32"/>
                <w:lang w:val="en-US" w:eastAsia="zh-CN" w:bidi="ar-SA"/>
              </w:rPr>
              <w:t>20</w:t>
            </w:r>
          </w:p>
        </w:tc>
        <w:tc>
          <w:tcPr>
            <w:tcW w:w="3866" w:type="dxa"/>
            <w:tcBorders>
              <w:top w:val="single" w:color="auto" w:sz="4" w:space="0"/>
              <w:left w:val="single" w:color="auto" w:sz="4" w:space="0"/>
              <w:right w:val="single" w:color="auto" w:sz="4" w:space="0"/>
            </w:tcBorders>
            <w:shd w:val="clear" w:color="auto" w:fill="FFFFFF"/>
          </w:tcPr>
          <w:p>
            <w:pPr>
              <w:pStyle w:val="15"/>
              <w:keepNext w:val="0"/>
              <w:keepLines w:val="0"/>
              <w:pageBreakBefore w:val="0"/>
              <w:kinsoku/>
              <w:wordWrap/>
              <w:overflowPunct/>
              <w:topLinePunct w:val="0"/>
              <w:autoSpaceDE/>
              <w:autoSpaceDN/>
              <w:bidi w:val="0"/>
              <w:adjustRightInd/>
              <w:snapToGrid/>
              <w:spacing w:line="560" w:lineRule="exact"/>
              <w:ind w:firstLine="0"/>
              <w:textAlignment w:val="auto"/>
              <w:rPr>
                <w:rFonts w:ascii="仿宋_GB2312" w:hAnsi="Times New Roman" w:eastAsia="仿宋_GB2312" w:cs="Times New Roman"/>
                <w:color w:val="auto"/>
                <w:sz w:val="32"/>
                <w:szCs w:val="32"/>
                <w:lang w:val="en-US" w:eastAsia="zh-CN" w:bidi="ar-SA"/>
              </w:rPr>
            </w:pPr>
            <w:r>
              <w:rPr>
                <w:rFonts w:hint="eastAsia" w:ascii="仿宋_GB2312" w:hAnsi="Times New Roman" w:eastAsia="仿宋_GB2312" w:cs="Times New Roman"/>
                <w:color w:val="auto"/>
                <w:sz w:val="32"/>
                <w:szCs w:val="32"/>
                <w:lang w:val="en-US" w:eastAsia="zh-CN" w:bidi="ar-SA"/>
              </w:rPr>
              <w:t>项目目标、决策过程均完成</w:t>
            </w:r>
          </w:p>
        </w:tc>
      </w:tr>
      <w:tr>
        <w:tblPrEx>
          <w:tblCellMar>
            <w:top w:w="0" w:type="dxa"/>
            <w:left w:w="10" w:type="dxa"/>
            <w:bottom w:w="0" w:type="dxa"/>
            <w:right w:w="10" w:type="dxa"/>
          </w:tblCellMar>
        </w:tblPrEx>
        <w:trPr>
          <w:trHeight w:val="1007" w:hRule="exact"/>
          <w:jc w:val="center"/>
        </w:trPr>
        <w:tc>
          <w:tcPr>
            <w:tcW w:w="1447" w:type="dxa"/>
            <w:tcBorders>
              <w:top w:val="single" w:color="auto" w:sz="4" w:space="0"/>
              <w:left w:val="single" w:color="auto" w:sz="4" w:space="0"/>
            </w:tcBorders>
            <w:shd w:val="clear" w:color="auto" w:fill="FFFFFF"/>
            <w:vAlign w:val="center"/>
          </w:tcPr>
          <w:p>
            <w:pPr>
              <w:pStyle w:val="15"/>
              <w:keepNext w:val="0"/>
              <w:keepLines w:val="0"/>
              <w:pageBreakBefore w:val="0"/>
              <w:kinsoku/>
              <w:wordWrap/>
              <w:overflowPunct/>
              <w:topLinePunct w:val="0"/>
              <w:autoSpaceDE/>
              <w:autoSpaceDN/>
              <w:bidi w:val="0"/>
              <w:adjustRightInd/>
              <w:snapToGrid/>
              <w:spacing w:line="560" w:lineRule="exact"/>
              <w:ind w:firstLine="380"/>
              <w:jc w:val="left"/>
              <w:textAlignment w:val="auto"/>
              <w:rPr>
                <w:rFonts w:ascii="仿宋_GB2312" w:hAnsi="Times New Roman" w:eastAsia="仿宋_GB2312" w:cs="Times New Roman"/>
                <w:color w:val="auto"/>
                <w:sz w:val="32"/>
                <w:szCs w:val="32"/>
                <w:lang w:val="en-US" w:eastAsia="zh-CN" w:bidi="ar-SA"/>
              </w:rPr>
            </w:pPr>
            <w:r>
              <w:rPr>
                <w:rFonts w:hint="eastAsia" w:ascii="仿宋_GB2312" w:hAnsi="Times New Roman" w:eastAsia="仿宋_GB2312" w:cs="Times New Roman"/>
                <w:color w:val="auto"/>
                <w:sz w:val="32"/>
                <w:szCs w:val="32"/>
                <w:lang w:val="en-US" w:eastAsia="zh-CN" w:bidi="ar-SA"/>
              </w:rPr>
              <w:t>过程</w:t>
            </w:r>
          </w:p>
        </w:tc>
        <w:tc>
          <w:tcPr>
            <w:tcW w:w="2045" w:type="dxa"/>
            <w:tcBorders>
              <w:top w:val="single" w:color="auto" w:sz="4" w:space="0"/>
              <w:left w:val="single" w:color="auto" w:sz="4" w:space="0"/>
            </w:tcBorders>
            <w:shd w:val="clear" w:color="auto" w:fill="FFFFFF"/>
            <w:vAlign w:val="center"/>
          </w:tcPr>
          <w:p>
            <w:pPr>
              <w:pStyle w:val="15"/>
              <w:keepNext w:val="0"/>
              <w:keepLines w:val="0"/>
              <w:pageBreakBefore w:val="0"/>
              <w:kinsoku/>
              <w:wordWrap/>
              <w:overflowPunct/>
              <w:topLinePunct w:val="0"/>
              <w:autoSpaceDE/>
              <w:autoSpaceDN/>
              <w:bidi w:val="0"/>
              <w:adjustRightInd/>
              <w:snapToGrid/>
              <w:spacing w:line="560" w:lineRule="exact"/>
              <w:ind w:firstLine="0"/>
              <w:jc w:val="center"/>
              <w:textAlignment w:val="auto"/>
              <w:rPr>
                <w:rFonts w:ascii="仿宋_GB2312" w:hAnsi="Times New Roman" w:eastAsia="仿宋_GB2312" w:cs="Times New Roman"/>
                <w:color w:val="auto"/>
                <w:sz w:val="32"/>
                <w:szCs w:val="32"/>
                <w:lang w:val="en-US" w:eastAsia="zh-CN" w:bidi="ar-SA"/>
              </w:rPr>
            </w:pPr>
            <w:r>
              <w:rPr>
                <w:rFonts w:hint="eastAsia" w:ascii="仿宋_GB2312" w:hAnsi="Times New Roman" w:eastAsia="仿宋_GB2312" w:cs="Times New Roman"/>
                <w:color w:val="auto"/>
                <w:sz w:val="32"/>
                <w:szCs w:val="32"/>
                <w:lang w:val="en-US" w:eastAsia="zh-CN" w:bidi="ar-SA"/>
              </w:rPr>
              <w:t>20</w:t>
            </w:r>
          </w:p>
        </w:tc>
        <w:tc>
          <w:tcPr>
            <w:tcW w:w="1951" w:type="dxa"/>
            <w:tcBorders>
              <w:top w:val="single" w:color="auto" w:sz="4" w:space="0"/>
              <w:left w:val="single" w:color="auto" w:sz="4" w:space="0"/>
            </w:tcBorders>
            <w:shd w:val="clear" w:color="auto" w:fill="FFFFFF"/>
            <w:vAlign w:val="center"/>
          </w:tcPr>
          <w:p>
            <w:pPr>
              <w:pStyle w:val="15"/>
              <w:keepNext w:val="0"/>
              <w:keepLines w:val="0"/>
              <w:pageBreakBefore w:val="0"/>
              <w:kinsoku/>
              <w:wordWrap/>
              <w:overflowPunct/>
              <w:topLinePunct w:val="0"/>
              <w:autoSpaceDE/>
              <w:autoSpaceDN/>
              <w:bidi w:val="0"/>
              <w:adjustRightInd/>
              <w:snapToGrid/>
              <w:spacing w:line="560" w:lineRule="exact"/>
              <w:ind w:firstLine="0"/>
              <w:jc w:val="center"/>
              <w:textAlignment w:val="auto"/>
              <w:rPr>
                <w:rFonts w:ascii="仿宋_GB2312" w:hAnsi="Times New Roman" w:eastAsia="仿宋_GB2312" w:cs="Times New Roman"/>
                <w:color w:val="auto"/>
                <w:sz w:val="32"/>
                <w:szCs w:val="32"/>
                <w:lang w:val="en-US" w:eastAsia="zh-CN" w:bidi="ar-SA"/>
              </w:rPr>
            </w:pPr>
            <w:r>
              <w:rPr>
                <w:rFonts w:hint="eastAsia" w:ascii="仿宋_GB2312" w:hAnsi="Times New Roman" w:eastAsia="仿宋_GB2312" w:cs="Times New Roman"/>
                <w:color w:val="auto"/>
                <w:sz w:val="32"/>
                <w:szCs w:val="32"/>
                <w:lang w:val="en-US" w:eastAsia="zh-CN" w:bidi="ar-SA"/>
              </w:rPr>
              <w:t>20</w:t>
            </w:r>
          </w:p>
        </w:tc>
        <w:tc>
          <w:tcPr>
            <w:tcW w:w="3866" w:type="dxa"/>
            <w:tcBorders>
              <w:top w:val="single" w:color="auto" w:sz="4" w:space="0"/>
              <w:left w:val="single" w:color="auto" w:sz="4" w:space="0"/>
              <w:right w:val="single" w:color="auto" w:sz="4" w:space="0"/>
            </w:tcBorders>
            <w:shd w:val="clear" w:color="auto" w:fill="FFFFFF"/>
            <w:vAlign w:val="bottom"/>
          </w:tcPr>
          <w:p>
            <w:pPr>
              <w:pStyle w:val="15"/>
              <w:keepNext w:val="0"/>
              <w:keepLines w:val="0"/>
              <w:pageBreakBefore w:val="0"/>
              <w:kinsoku/>
              <w:wordWrap/>
              <w:overflowPunct/>
              <w:topLinePunct w:val="0"/>
              <w:autoSpaceDE/>
              <w:autoSpaceDN/>
              <w:bidi w:val="0"/>
              <w:adjustRightInd/>
              <w:snapToGrid/>
              <w:spacing w:line="560" w:lineRule="exact"/>
              <w:ind w:firstLine="0"/>
              <w:jc w:val="left"/>
              <w:textAlignment w:val="auto"/>
              <w:rPr>
                <w:rFonts w:ascii="仿宋_GB2312" w:hAnsi="Times New Roman" w:eastAsia="仿宋_GB2312" w:cs="Times New Roman"/>
                <w:color w:val="auto"/>
                <w:sz w:val="32"/>
                <w:szCs w:val="32"/>
                <w:lang w:val="en-US" w:eastAsia="zh-CN" w:bidi="ar-SA"/>
              </w:rPr>
            </w:pPr>
            <w:r>
              <w:rPr>
                <w:rFonts w:hint="eastAsia" w:ascii="仿宋_GB2312" w:hAnsi="Times New Roman" w:eastAsia="仿宋_GB2312" w:cs="Times New Roman"/>
                <w:color w:val="auto"/>
                <w:sz w:val="32"/>
                <w:szCs w:val="32"/>
                <w:lang w:val="en-US" w:eastAsia="zh-CN" w:bidi="ar-SA"/>
              </w:rPr>
              <w:t>预算执行达到100%。</w:t>
            </w:r>
          </w:p>
        </w:tc>
      </w:tr>
      <w:tr>
        <w:tblPrEx>
          <w:tblCellMar>
            <w:top w:w="0" w:type="dxa"/>
            <w:left w:w="10" w:type="dxa"/>
            <w:bottom w:w="0" w:type="dxa"/>
            <w:right w:w="10" w:type="dxa"/>
          </w:tblCellMar>
        </w:tblPrEx>
        <w:trPr>
          <w:trHeight w:val="857" w:hRule="exact"/>
          <w:jc w:val="center"/>
        </w:trPr>
        <w:tc>
          <w:tcPr>
            <w:tcW w:w="1447" w:type="dxa"/>
            <w:tcBorders>
              <w:top w:val="single" w:color="auto" w:sz="4" w:space="0"/>
              <w:left w:val="single" w:color="auto" w:sz="4" w:space="0"/>
            </w:tcBorders>
            <w:shd w:val="clear" w:color="auto" w:fill="FFFFFF"/>
            <w:vAlign w:val="center"/>
          </w:tcPr>
          <w:p>
            <w:pPr>
              <w:pStyle w:val="15"/>
              <w:keepNext w:val="0"/>
              <w:keepLines w:val="0"/>
              <w:pageBreakBefore w:val="0"/>
              <w:kinsoku/>
              <w:wordWrap/>
              <w:overflowPunct/>
              <w:topLinePunct w:val="0"/>
              <w:autoSpaceDE/>
              <w:autoSpaceDN/>
              <w:bidi w:val="0"/>
              <w:adjustRightInd/>
              <w:snapToGrid/>
              <w:spacing w:line="560" w:lineRule="exact"/>
              <w:ind w:firstLine="0"/>
              <w:jc w:val="center"/>
              <w:textAlignment w:val="auto"/>
              <w:rPr>
                <w:rFonts w:ascii="仿宋_GB2312" w:hAnsi="Times New Roman" w:eastAsia="仿宋_GB2312" w:cs="Times New Roman"/>
                <w:color w:val="auto"/>
                <w:sz w:val="32"/>
                <w:szCs w:val="32"/>
                <w:lang w:val="en-US" w:eastAsia="zh-CN" w:bidi="ar-SA"/>
              </w:rPr>
            </w:pPr>
            <w:r>
              <w:rPr>
                <w:rFonts w:hint="eastAsia" w:ascii="仿宋_GB2312" w:hAnsi="Times New Roman" w:eastAsia="仿宋_GB2312" w:cs="Times New Roman"/>
                <w:color w:val="auto"/>
                <w:sz w:val="32"/>
                <w:szCs w:val="32"/>
                <w:lang w:val="en-US" w:eastAsia="zh-CN" w:bidi="ar-SA"/>
              </w:rPr>
              <w:t>产出</w:t>
            </w:r>
          </w:p>
        </w:tc>
        <w:tc>
          <w:tcPr>
            <w:tcW w:w="2045" w:type="dxa"/>
            <w:tcBorders>
              <w:top w:val="single" w:color="auto" w:sz="4" w:space="0"/>
              <w:left w:val="single" w:color="auto" w:sz="4" w:space="0"/>
            </w:tcBorders>
            <w:shd w:val="clear" w:color="auto" w:fill="FFFFFF"/>
            <w:vAlign w:val="center"/>
          </w:tcPr>
          <w:p>
            <w:pPr>
              <w:pStyle w:val="15"/>
              <w:keepNext w:val="0"/>
              <w:keepLines w:val="0"/>
              <w:pageBreakBefore w:val="0"/>
              <w:kinsoku/>
              <w:wordWrap/>
              <w:overflowPunct/>
              <w:topLinePunct w:val="0"/>
              <w:autoSpaceDE/>
              <w:autoSpaceDN/>
              <w:bidi w:val="0"/>
              <w:adjustRightInd/>
              <w:snapToGrid/>
              <w:spacing w:line="560" w:lineRule="exact"/>
              <w:ind w:firstLine="0"/>
              <w:jc w:val="center"/>
              <w:textAlignment w:val="auto"/>
              <w:rPr>
                <w:rFonts w:ascii="仿宋_GB2312" w:hAnsi="Times New Roman" w:eastAsia="仿宋_GB2312" w:cs="Times New Roman"/>
                <w:color w:val="auto"/>
                <w:sz w:val="32"/>
                <w:szCs w:val="32"/>
                <w:lang w:val="en-US" w:eastAsia="zh-CN" w:bidi="ar-SA"/>
              </w:rPr>
            </w:pPr>
            <w:r>
              <w:rPr>
                <w:rFonts w:hint="eastAsia" w:ascii="仿宋_GB2312" w:hAnsi="Times New Roman" w:eastAsia="仿宋_GB2312" w:cs="Times New Roman"/>
                <w:color w:val="auto"/>
                <w:sz w:val="32"/>
                <w:szCs w:val="32"/>
                <w:lang w:val="en-US" w:eastAsia="zh-CN" w:bidi="ar-SA"/>
              </w:rPr>
              <w:t>30</w:t>
            </w:r>
          </w:p>
        </w:tc>
        <w:tc>
          <w:tcPr>
            <w:tcW w:w="1951" w:type="dxa"/>
            <w:tcBorders>
              <w:top w:val="single" w:color="auto" w:sz="4" w:space="0"/>
              <w:left w:val="single" w:color="auto" w:sz="4" w:space="0"/>
            </w:tcBorders>
            <w:shd w:val="clear" w:color="auto" w:fill="FFFFFF"/>
            <w:vAlign w:val="center"/>
          </w:tcPr>
          <w:p>
            <w:pPr>
              <w:pStyle w:val="15"/>
              <w:keepNext w:val="0"/>
              <w:keepLines w:val="0"/>
              <w:pageBreakBefore w:val="0"/>
              <w:kinsoku/>
              <w:wordWrap/>
              <w:overflowPunct/>
              <w:topLinePunct w:val="0"/>
              <w:autoSpaceDE/>
              <w:autoSpaceDN/>
              <w:bidi w:val="0"/>
              <w:adjustRightInd/>
              <w:snapToGrid/>
              <w:spacing w:line="560" w:lineRule="exact"/>
              <w:ind w:firstLine="0"/>
              <w:jc w:val="center"/>
              <w:textAlignment w:val="auto"/>
              <w:rPr>
                <w:rFonts w:ascii="仿宋_GB2312" w:hAnsi="Times New Roman" w:eastAsia="仿宋_GB2312" w:cs="Times New Roman"/>
                <w:color w:val="auto"/>
                <w:sz w:val="32"/>
                <w:szCs w:val="32"/>
                <w:lang w:val="en-US" w:eastAsia="zh-CN" w:bidi="ar-SA"/>
              </w:rPr>
            </w:pPr>
            <w:r>
              <w:rPr>
                <w:rFonts w:hint="eastAsia" w:ascii="仿宋_GB2312" w:hAnsi="Times New Roman" w:eastAsia="仿宋_GB2312" w:cs="Times New Roman"/>
                <w:color w:val="auto"/>
                <w:sz w:val="32"/>
                <w:szCs w:val="32"/>
                <w:lang w:val="en-US" w:eastAsia="zh-CN" w:bidi="ar-SA"/>
              </w:rPr>
              <w:t>30</w:t>
            </w:r>
          </w:p>
        </w:tc>
        <w:tc>
          <w:tcPr>
            <w:tcW w:w="3866" w:type="dxa"/>
            <w:tcBorders>
              <w:top w:val="single" w:color="auto" w:sz="4" w:space="0"/>
              <w:left w:val="single" w:color="auto" w:sz="4" w:space="0"/>
              <w:right w:val="single" w:color="auto" w:sz="4" w:space="0"/>
            </w:tcBorders>
            <w:shd w:val="clear" w:color="auto" w:fill="FFFFFF"/>
            <w:vAlign w:val="center"/>
          </w:tcPr>
          <w:p>
            <w:pPr>
              <w:pStyle w:val="15"/>
              <w:keepNext w:val="0"/>
              <w:keepLines w:val="0"/>
              <w:pageBreakBefore w:val="0"/>
              <w:kinsoku/>
              <w:wordWrap/>
              <w:overflowPunct/>
              <w:topLinePunct w:val="0"/>
              <w:autoSpaceDE/>
              <w:autoSpaceDN/>
              <w:bidi w:val="0"/>
              <w:adjustRightInd/>
              <w:snapToGrid/>
              <w:spacing w:line="560" w:lineRule="exact"/>
              <w:ind w:firstLine="0"/>
              <w:textAlignment w:val="auto"/>
              <w:rPr>
                <w:rFonts w:ascii="仿宋_GB2312" w:hAnsi="Times New Roman" w:eastAsia="仿宋_GB2312" w:cs="Times New Roman"/>
                <w:color w:val="auto"/>
                <w:sz w:val="32"/>
                <w:szCs w:val="32"/>
                <w:lang w:val="en-US" w:eastAsia="zh-CN" w:bidi="ar-SA"/>
              </w:rPr>
            </w:pPr>
            <w:r>
              <w:rPr>
                <w:rFonts w:hint="eastAsia" w:ascii="仿宋_GB2312" w:hAnsi="Times New Roman" w:eastAsia="仿宋_GB2312" w:cs="Times New Roman"/>
                <w:color w:val="auto"/>
                <w:sz w:val="32"/>
                <w:szCs w:val="32"/>
                <w:lang w:val="en-US" w:eastAsia="zh-CN" w:bidi="ar-SA"/>
              </w:rPr>
              <w:t>目标均执行完成</w:t>
            </w:r>
          </w:p>
        </w:tc>
      </w:tr>
      <w:tr>
        <w:tblPrEx>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shd w:val="clear" w:color="auto" w:fill="FFFFFF"/>
            <w:vAlign w:val="center"/>
          </w:tcPr>
          <w:p>
            <w:pPr>
              <w:pStyle w:val="15"/>
              <w:keepNext w:val="0"/>
              <w:keepLines w:val="0"/>
              <w:pageBreakBefore w:val="0"/>
              <w:kinsoku/>
              <w:wordWrap/>
              <w:overflowPunct/>
              <w:topLinePunct w:val="0"/>
              <w:autoSpaceDE/>
              <w:autoSpaceDN/>
              <w:bidi w:val="0"/>
              <w:adjustRightInd/>
              <w:snapToGrid/>
              <w:spacing w:line="560" w:lineRule="exact"/>
              <w:ind w:firstLine="0"/>
              <w:jc w:val="center"/>
              <w:textAlignment w:val="auto"/>
              <w:rPr>
                <w:rFonts w:ascii="仿宋_GB2312" w:hAnsi="Times New Roman" w:eastAsia="仿宋_GB2312" w:cs="Times New Roman"/>
                <w:color w:val="auto"/>
                <w:sz w:val="32"/>
                <w:szCs w:val="32"/>
                <w:lang w:val="en-US" w:eastAsia="zh-CN" w:bidi="ar-SA"/>
              </w:rPr>
            </w:pPr>
            <w:r>
              <w:rPr>
                <w:rFonts w:hint="eastAsia" w:ascii="仿宋_GB2312" w:hAnsi="Times New Roman" w:eastAsia="仿宋_GB2312" w:cs="Times New Roman"/>
                <w:color w:val="auto"/>
                <w:sz w:val="32"/>
                <w:szCs w:val="32"/>
                <w:lang w:val="en-US" w:eastAsia="zh-CN" w:bidi="ar-SA"/>
              </w:rPr>
              <w:t>效益</w:t>
            </w:r>
          </w:p>
        </w:tc>
        <w:tc>
          <w:tcPr>
            <w:tcW w:w="2045" w:type="dxa"/>
            <w:tcBorders>
              <w:top w:val="single" w:color="auto" w:sz="4" w:space="0"/>
              <w:left w:val="single" w:color="auto" w:sz="4" w:space="0"/>
              <w:bottom w:val="single" w:color="auto" w:sz="4" w:space="0"/>
            </w:tcBorders>
            <w:shd w:val="clear" w:color="auto" w:fill="FFFFFF"/>
            <w:vAlign w:val="center"/>
          </w:tcPr>
          <w:p>
            <w:pPr>
              <w:pStyle w:val="15"/>
              <w:keepNext w:val="0"/>
              <w:keepLines w:val="0"/>
              <w:pageBreakBefore w:val="0"/>
              <w:kinsoku/>
              <w:wordWrap/>
              <w:overflowPunct/>
              <w:topLinePunct w:val="0"/>
              <w:autoSpaceDE/>
              <w:autoSpaceDN/>
              <w:bidi w:val="0"/>
              <w:adjustRightInd/>
              <w:snapToGrid/>
              <w:spacing w:line="560" w:lineRule="exact"/>
              <w:ind w:firstLine="0"/>
              <w:jc w:val="center"/>
              <w:textAlignment w:val="auto"/>
              <w:rPr>
                <w:rFonts w:ascii="仿宋_GB2312" w:hAnsi="Times New Roman" w:eastAsia="仿宋_GB2312" w:cs="Times New Roman"/>
                <w:color w:val="auto"/>
                <w:sz w:val="32"/>
                <w:szCs w:val="32"/>
                <w:lang w:val="en-US" w:eastAsia="zh-CN" w:bidi="ar-SA"/>
              </w:rPr>
            </w:pPr>
            <w:r>
              <w:rPr>
                <w:rFonts w:hint="eastAsia" w:ascii="仿宋_GB2312" w:hAnsi="Times New Roman" w:eastAsia="仿宋_GB2312" w:cs="Times New Roman"/>
                <w:color w:val="auto"/>
                <w:sz w:val="32"/>
                <w:szCs w:val="32"/>
                <w:lang w:val="en-US" w:eastAsia="zh-CN" w:bidi="ar-SA"/>
              </w:rPr>
              <w:t>30</w:t>
            </w:r>
          </w:p>
        </w:tc>
        <w:tc>
          <w:tcPr>
            <w:tcW w:w="1951" w:type="dxa"/>
            <w:tcBorders>
              <w:top w:val="single" w:color="auto" w:sz="4" w:space="0"/>
              <w:left w:val="single" w:color="auto" w:sz="4" w:space="0"/>
              <w:bottom w:val="single" w:color="auto" w:sz="4" w:space="0"/>
            </w:tcBorders>
            <w:shd w:val="clear" w:color="auto" w:fill="FFFFFF"/>
            <w:vAlign w:val="center"/>
          </w:tcPr>
          <w:p>
            <w:pPr>
              <w:pStyle w:val="15"/>
              <w:keepNext w:val="0"/>
              <w:keepLines w:val="0"/>
              <w:pageBreakBefore w:val="0"/>
              <w:kinsoku/>
              <w:wordWrap/>
              <w:overflowPunct/>
              <w:topLinePunct w:val="0"/>
              <w:autoSpaceDE/>
              <w:autoSpaceDN/>
              <w:bidi w:val="0"/>
              <w:adjustRightInd/>
              <w:snapToGrid/>
              <w:spacing w:line="560" w:lineRule="exact"/>
              <w:ind w:firstLine="0"/>
              <w:jc w:val="center"/>
              <w:textAlignment w:val="auto"/>
              <w:rPr>
                <w:rFonts w:ascii="仿宋_GB2312" w:hAnsi="Times New Roman" w:eastAsia="仿宋_GB2312" w:cs="Times New Roman"/>
                <w:color w:val="auto"/>
                <w:sz w:val="32"/>
                <w:szCs w:val="32"/>
                <w:lang w:val="en-US" w:eastAsia="zh-CN" w:bidi="ar-SA"/>
              </w:rPr>
            </w:pPr>
            <w:r>
              <w:rPr>
                <w:rFonts w:hint="eastAsia" w:ascii="仿宋_GB2312" w:hAnsi="Times New Roman" w:eastAsia="仿宋_GB2312" w:cs="Times New Roman"/>
                <w:color w:val="auto"/>
                <w:sz w:val="32"/>
                <w:szCs w:val="32"/>
                <w:lang w:val="en-US" w:eastAsia="zh-CN" w:bidi="ar-SA"/>
              </w:rPr>
              <w:t>30</w:t>
            </w:r>
          </w:p>
        </w:tc>
        <w:tc>
          <w:tcPr>
            <w:tcW w:w="3866" w:type="dxa"/>
            <w:tcBorders>
              <w:top w:val="single" w:color="auto" w:sz="4" w:space="0"/>
              <w:left w:val="single" w:color="auto" w:sz="4" w:space="0"/>
              <w:bottom w:val="single" w:color="auto" w:sz="4" w:space="0"/>
              <w:right w:val="single" w:color="auto" w:sz="4" w:space="0"/>
            </w:tcBorders>
            <w:shd w:val="clear" w:color="auto" w:fill="FFFFFF"/>
          </w:tcPr>
          <w:p>
            <w:pPr>
              <w:keepNext w:val="0"/>
              <w:keepLines w:val="0"/>
              <w:pageBreakBefore w:val="0"/>
              <w:kinsoku/>
              <w:wordWrap/>
              <w:overflowPunct/>
              <w:topLinePunct w:val="0"/>
              <w:autoSpaceDE/>
              <w:autoSpaceDN/>
              <w:bidi w:val="0"/>
              <w:adjustRightInd/>
              <w:snapToGrid/>
              <w:spacing w:line="560" w:lineRule="exact"/>
              <w:textAlignment w:val="auto"/>
              <w:rPr>
                <w:rFonts w:ascii="仿宋_GB2312" w:hAnsi="Times New Roman" w:eastAsia="仿宋_GB2312"/>
                <w:color w:val="auto"/>
                <w:sz w:val="32"/>
                <w:szCs w:val="32"/>
              </w:rPr>
            </w:pPr>
            <w:r>
              <w:rPr>
                <w:rFonts w:hint="eastAsia" w:ascii="仿宋_GB2312" w:hAnsi="Times New Roman" w:eastAsia="仿宋_GB2312"/>
                <w:color w:val="auto"/>
                <w:sz w:val="32"/>
                <w:szCs w:val="32"/>
              </w:rPr>
              <w:t>社会效应达成</w:t>
            </w:r>
          </w:p>
        </w:tc>
      </w:tr>
      <w:tr>
        <w:tblPrEx>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shd w:val="clear" w:color="auto" w:fill="FFFFFF"/>
            <w:vAlign w:val="center"/>
          </w:tcPr>
          <w:p>
            <w:pPr>
              <w:pStyle w:val="15"/>
              <w:keepNext w:val="0"/>
              <w:keepLines w:val="0"/>
              <w:pageBreakBefore w:val="0"/>
              <w:kinsoku/>
              <w:wordWrap/>
              <w:overflowPunct/>
              <w:topLinePunct w:val="0"/>
              <w:autoSpaceDE/>
              <w:autoSpaceDN/>
              <w:bidi w:val="0"/>
              <w:adjustRightInd/>
              <w:snapToGrid/>
              <w:spacing w:line="560" w:lineRule="exact"/>
              <w:ind w:firstLine="0"/>
              <w:jc w:val="center"/>
              <w:textAlignment w:val="auto"/>
              <w:rPr>
                <w:rFonts w:ascii="仿宋_GB2312" w:hAnsi="Times New Roman" w:eastAsia="仿宋_GB2312" w:cs="Times New Roman"/>
                <w:color w:val="auto"/>
                <w:sz w:val="32"/>
                <w:szCs w:val="32"/>
                <w:lang w:val="en-US" w:eastAsia="zh-CN" w:bidi="ar-SA"/>
              </w:rPr>
            </w:pPr>
            <w:r>
              <w:rPr>
                <w:rFonts w:hint="eastAsia" w:ascii="仿宋_GB2312" w:hAnsi="Times New Roman" w:eastAsia="仿宋_GB2312" w:cs="Times New Roman"/>
                <w:color w:val="auto"/>
                <w:sz w:val="32"/>
                <w:szCs w:val="32"/>
                <w:lang w:val="en-US" w:eastAsia="zh-CN" w:bidi="ar-SA"/>
              </w:rPr>
              <w:t>合计</w:t>
            </w:r>
          </w:p>
        </w:tc>
        <w:tc>
          <w:tcPr>
            <w:tcW w:w="2045" w:type="dxa"/>
            <w:tcBorders>
              <w:top w:val="single" w:color="auto" w:sz="4" w:space="0"/>
              <w:left w:val="single" w:color="auto" w:sz="4" w:space="0"/>
              <w:bottom w:val="single" w:color="auto" w:sz="4" w:space="0"/>
            </w:tcBorders>
            <w:shd w:val="clear" w:color="auto" w:fill="FFFFFF"/>
            <w:vAlign w:val="center"/>
          </w:tcPr>
          <w:p>
            <w:pPr>
              <w:pStyle w:val="15"/>
              <w:keepNext w:val="0"/>
              <w:keepLines w:val="0"/>
              <w:pageBreakBefore w:val="0"/>
              <w:kinsoku/>
              <w:wordWrap/>
              <w:overflowPunct/>
              <w:topLinePunct w:val="0"/>
              <w:autoSpaceDE/>
              <w:autoSpaceDN/>
              <w:bidi w:val="0"/>
              <w:adjustRightInd/>
              <w:snapToGrid/>
              <w:spacing w:line="560" w:lineRule="exact"/>
              <w:ind w:firstLine="0"/>
              <w:jc w:val="center"/>
              <w:textAlignment w:val="auto"/>
              <w:rPr>
                <w:rFonts w:ascii="仿宋_GB2312" w:hAnsi="Times New Roman" w:eastAsia="仿宋_GB2312" w:cs="Times New Roman"/>
                <w:color w:val="auto"/>
                <w:sz w:val="32"/>
                <w:szCs w:val="32"/>
                <w:lang w:val="en-US" w:eastAsia="zh-CN" w:bidi="ar-SA"/>
              </w:rPr>
            </w:pPr>
            <w:r>
              <w:rPr>
                <w:rFonts w:hint="eastAsia" w:ascii="仿宋_GB2312" w:hAnsi="Times New Roman" w:eastAsia="仿宋_GB2312" w:cs="Times New Roman"/>
                <w:color w:val="auto"/>
                <w:sz w:val="32"/>
                <w:szCs w:val="32"/>
                <w:lang w:val="en-US" w:eastAsia="zh-CN" w:bidi="ar-SA"/>
              </w:rPr>
              <w:t>100</w:t>
            </w:r>
          </w:p>
        </w:tc>
        <w:tc>
          <w:tcPr>
            <w:tcW w:w="1951" w:type="dxa"/>
            <w:tcBorders>
              <w:top w:val="single" w:color="auto" w:sz="4" w:space="0"/>
              <w:left w:val="single" w:color="auto" w:sz="4" w:space="0"/>
              <w:bottom w:val="single" w:color="auto" w:sz="4" w:space="0"/>
            </w:tcBorders>
            <w:shd w:val="clear" w:color="auto" w:fill="FFFFFF"/>
            <w:vAlign w:val="center"/>
          </w:tcPr>
          <w:p>
            <w:pPr>
              <w:pStyle w:val="15"/>
              <w:keepNext w:val="0"/>
              <w:keepLines w:val="0"/>
              <w:pageBreakBefore w:val="0"/>
              <w:kinsoku/>
              <w:wordWrap/>
              <w:overflowPunct/>
              <w:topLinePunct w:val="0"/>
              <w:autoSpaceDE/>
              <w:autoSpaceDN/>
              <w:bidi w:val="0"/>
              <w:adjustRightInd/>
              <w:snapToGrid/>
              <w:spacing w:line="560" w:lineRule="exact"/>
              <w:ind w:firstLine="0"/>
              <w:jc w:val="center"/>
              <w:textAlignment w:val="auto"/>
              <w:rPr>
                <w:rFonts w:ascii="仿宋_GB2312" w:hAnsi="Times New Roman" w:eastAsia="仿宋_GB2312" w:cs="Times New Roman"/>
                <w:color w:val="auto"/>
                <w:sz w:val="32"/>
                <w:szCs w:val="32"/>
                <w:lang w:val="en-US" w:eastAsia="zh-CN" w:bidi="ar-SA"/>
              </w:rPr>
            </w:pPr>
            <w:r>
              <w:rPr>
                <w:rFonts w:hint="eastAsia" w:ascii="仿宋_GB2312" w:hAnsi="Times New Roman" w:eastAsia="仿宋_GB2312" w:cs="Times New Roman"/>
                <w:color w:val="auto"/>
                <w:sz w:val="32"/>
                <w:szCs w:val="32"/>
                <w:lang w:val="en-US" w:eastAsia="zh-CN" w:bidi="ar-SA"/>
              </w:rPr>
              <w:t>100</w:t>
            </w:r>
          </w:p>
        </w:tc>
        <w:tc>
          <w:tcPr>
            <w:tcW w:w="3866" w:type="dxa"/>
            <w:tcBorders>
              <w:top w:val="single" w:color="auto" w:sz="4" w:space="0"/>
              <w:left w:val="single" w:color="auto" w:sz="4" w:space="0"/>
              <w:bottom w:val="single" w:color="auto" w:sz="4" w:space="0"/>
              <w:right w:val="single" w:color="auto" w:sz="4" w:space="0"/>
            </w:tcBorders>
            <w:shd w:val="clear" w:color="auto" w:fill="FFFFFF"/>
          </w:tcPr>
          <w:p>
            <w:pPr>
              <w:keepNext w:val="0"/>
              <w:keepLines w:val="0"/>
              <w:pageBreakBefore w:val="0"/>
              <w:kinsoku/>
              <w:wordWrap/>
              <w:overflowPunct/>
              <w:topLinePunct w:val="0"/>
              <w:autoSpaceDE/>
              <w:autoSpaceDN/>
              <w:bidi w:val="0"/>
              <w:adjustRightInd/>
              <w:snapToGrid/>
              <w:spacing w:line="560" w:lineRule="exact"/>
              <w:textAlignment w:val="auto"/>
              <w:rPr>
                <w:rFonts w:ascii="仿宋_GB2312" w:hAnsi="Times New Roman" w:eastAsia="仿宋_GB2312"/>
                <w:color w:val="auto"/>
                <w:sz w:val="32"/>
                <w:szCs w:val="32"/>
              </w:rPr>
            </w:pPr>
          </w:p>
        </w:tc>
      </w:tr>
    </w:tbl>
    <w:p>
      <w:pPr>
        <w:pStyle w:val="14"/>
        <w:keepNext w:val="0"/>
        <w:keepLines w:val="0"/>
        <w:pageBreakBefore w:val="0"/>
        <w:kinsoku/>
        <w:wordWrap/>
        <w:overflowPunct/>
        <w:topLinePunct w:val="0"/>
        <w:autoSpaceDE/>
        <w:autoSpaceDN/>
        <w:bidi w:val="0"/>
        <w:adjustRightInd/>
        <w:snapToGrid/>
        <w:spacing w:line="560" w:lineRule="exact"/>
        <w:ind w:firstLine="700"/>
        <w:textAlignment w:val="auto"/>
        <w:rPr>
          <w:rFonts w:ascii="仿宋_GB2312" w:hAnsi="Times New Roman" w:eastAsia="仿宋_GB2312" w:cs="Times New Roman"/>
          <w:b/>
          <w:color w:val="auto"/>
          <w:sz w:val="32"/>
          <w:szCs w:val="32"/>
          <w:lang w:val="en-US" w:eastAsia="zh-CN" w:bidi="ar-SA"/>
        </w:rPr>
      </w:pPr>
      <w:r>
        <w:rPr>
          <w:rFonts w:hint="eastAsia" w:ascii="仿宋_GB2312" w:hAnsi="Times New Roman" w:eastAsia="仿宋_GB2312" w:cs="Times New Roman"/>
          <w:b/>
          <w:color w:val="auto"/>
          <w:sz w:val="32"/>
          <w:szCs w:val="32"/>
          <w:lang w:val="en-US" w:eastAsia="zh-CN" w:bidi="ar-SA"/>
        </w:rPr>
        <w:t>(二)评价结论</w:t>
      </w:r>
    </w:p>
    <w:p>
      <w:pPr>
        <w:pStyle w:val="14"/>
        <w:keepNext w:val="0"/>
        <w:keepLines w:val="0"/>
        <w:pageBreakBefore w:val="0"/>
        <w:kinsoku/>
        <w:wordWrap/>
        <w:overflowPunct/>
        <w:topLinePunct w:val="0"/>
        <w:autoSpaceDE/>
        <w:autoSpaceDN/>
        <w:bidi w:val="0"/>
        <w:adjustRightInd/>
        <w:snapToGrid/>
        <w:spacing w:line="560" w:lineRule="exact"/>
        <w:ind w:firstLine="700"/>
        <w:textAlignment w:val="auto"/>
        <w:rPr>
          <w:rFonts w:ascii="仿宋_GB2312" w:hAnsi="Times New Roman" w:eastAsia="仿宋_GB2312" w:cs="Times New Roman"/>
          <w:color w:val="auto"/>
          <w:sz w:val="32"/>
          <w:szCs w:val="32"/>
          <w:lang w:val="en-US" w:eastAsia="zh-CN" w:bidi="ar-SA"/>
        </w:rPr>
      </w:pPr>
      <w:r>
        <w:rPr>
          <w:rFonts w:hint="eastAsia" w:ascii="仿宋_GB2312" w:hAnsi="Times New Roman" w:eastAsia="仿宋_GB2312" w:cs="Times New Roman"/>
          <w:color w:val="auto"/>
          <w:sz w:val="32"/>
          <w:szCs w:val="32"/>
          <w:lang w:val="en-US" w:eastAsia="zh-CN" w:bidi="ar-SA"/>
        </w:rPr>
        <w:t>政协乌尔禾区委员会办公室办公设备购置经费项目达到了年初设立的绩效目标，在决策上科学合理，项目管理上规范到位，在实施过程中取得了良好的成效，达到了预期的绩效目标。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color w:val="auto"/>
          <w:sz w:val="32"/>
          <w:szCs w:val="32"/>
        </w:rPr>
      </w:pPr>
      <w:r>
        <w:rPr>
          <w:rFonts w:hint="eastAsia" w:ascii="黑体" w:hAnsi="黑体" w:eastAsia="黑体"/>
          <w:color w:val="auto"/>
          <w:sz w:val="32"/>
          <w:szCs w:val="32"/>
        </w:rPr>
        <w:t>四、绩效评价指标分析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ascii="仿宋_GB2312" w:hAnsi="Times New Roman" w:eastAsia="仿宋_GB2312"/>
          <w:color w:val="auto"/>
          <w:sz w:val="32"/>
          <w:szCs w:val="32"/>
        </w:rPr>
      </w:pPr>
      <w:r>
        <w:rPr>
          <w:rFonts w:hint="eastAsia" w:ascii="仿宋_GB2312" w:hAnsi="Times New Roman" w:eastAsia="仿宋_GB2312"/>
          <w:color w:val="auto"/>
          <w:sz w:val="32"/>
          <w:szCs w:val="32"/>
        </w:rPr>
        <w:t>（一）项目决策情况</w:t>
      </w:r>
    </w:p>
    <w:p>
      <w:pPr>
        <w:pStyle w:val="14"/>
        <w:keepNext w:val="0"/>
        <w:keepLines w:val="0"/>
        <w:pageBreakBefore w:val="0"/>
        <w:tabs>
          <w:tab w:val="left" w:pos="1527"/>
        </w:tabs>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color w:val="auto"/>
          <w:sz w:val="32"/>
          <w:szCs w:val="32"/>
          <w:lang w:val="en-US" w:eastAsia="zh-CN" w:bidi="ar-SA"/>
        </w:rPr>
      </w:pPr>
      <w:r>
        <w:rPr>
          <w:rFonts w:hint="eastAsia" w:ascii="仿宋_GB2312" w:hAnsi="Times New Roman" w:eastAsia="仿宋_GB2312" w:cs="Times New Roman"/>
          <w:color w:val="auto"/>
          <w:sz w:val="32"/>
          <w:szCs w:val="32"/>
          <w:lang w:val="en-US" w:eastAsia="zh-CN" w:bidi="ar-SA"/>
        </w:rPr>
        <w:t>项目立项符合</w:t>
      </w:r>
      <w:bookmarkStart w:id="11" w:name="bookmark42"/>
      <w:bookmarkEnd w:id="11"/>
      <w:r>
        <w:rPr>
          <w:rFonts w:hint="eastAsia" w:ascii="仿宋_GB2312" w:hAnsi="Times New Roman" w:eastAsia="仿宋_GB2312" w:cs="Times New Roman"/>
          <w:color w:val="auto"/>
          <w:sz w:val="32"/>
          <w:szCs w:val="32"/>
          <w:lang w:val="en-US" w:eastAsia="zh-CN" w:bidi="ar-SA"/>
        </w:rPr>
        <w:t>区财政关于采购的要求，在协议供货单位的范围内进行采购；项目申请、设立过程符合相关要求；项目所设定的绩效目标依据充分，符合客观实际；绩效指标清晰、细化、可衡量；项目预算编制经过科学论证、有明确标准，资金额度与年度目标相适应；项目预算资金分配有测算依据。</w:t>
      </w:r>
    </w:p>
    <w:p>
      <w:pPr>
        <w:pStyle w:val="14"/>
        <w:keepNext w:val="0"/>
        <w:keepLines w:val="0"/>
        <w:pageBreakBefore w:val="0"/>
        <w:tabs>
          <w:tab w:val="left" w:pos="1527"/>
        </w:tabs>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cs="Times New Roman"/>
          <w:color w:val="auto"/>
          <w:sz w:val="32"/>
          <w:szCs w:val="32"/>
          <w:lang w:val="en-US" w:eastAsia="zh-CN" w:bidi="ar-SA"/>
        </w:rPr>
      </w:pPr>
      <w:r>
        <w:rPr>
          <w:rFonts w:hint="eastAsia" w:ascii="仿宋_GB2312" w:hAnsi="Times New Roman" w:eastAsia="仿宋_GB2312" w:cs="Times New Roman"/>
          <w:color w:val="auto"/>
          <w:sz w:val="32"/>
          <w:szCs w:val="32"/>
          <w:lang w:val="en-US" w:eastAsia="zh-CN" w:bidi="ar-SA"/>
        </w:rPr>
        <w:t>本次评价认为；该项目符合项目立项，项目绩效目标设置、资金投入等方面相关规定。</w:t>
      </w:r>
    </w:p>
    <w:p>
      <w:pPr>
        <w:keepNext w:val="0"/>
        <w:keepLines w:val="0"/>
        <w:pageBreakBefore w:val="0"/>
        <w:kinsoku/>
        <w:wordWrap/>
        <w:overflowPunct/>
        <w:topLinePunct w:val="0"/>
        <w:autoSpaceDE/>
        <w:autoSpaceDN/>
        <w:bidi w:val="0"/>
        <w:adjustRightInd/>
        <w:snapToGrid/>
        <w:spacing w:line="560" w:lineRule="exact"/>
        <w:ind w:left="600"/>
        <w:textAlignment w:val="auto"/>
        <w:outlineLvl w:val="0"/>
        <w:rPr>
          <w:rFonts w:ascii="仿宋_GB2312" w:hAnsi="Times New Roman" w:eastAsia="仿宋_GB2312"/>
          <w:color w:val="auto"/>
          <w:sz w:val="32"/>
          <w:szCs w:val="32"/>
        </w:rPr>
      </w:pPr>
      <w:r>
        <w:rPr>
          <w:rFonts w:hint="eastAsia" w:ascii="仿宋_GB2312" w:hAnsi="Times New Roman" w:eastAsia="仿宋_GB2312"/>
          <w:color w:val="auto"/>
          <w:sz w:val="32"/>
          <w:szCs w:val="32"/>
        </w:rPr>
        <w:t>（二）项目过程情况</w:t>
      </w:r>
    </w:p>
    <w:p>
      <w:pPr>
        <w:pStyle w:val="14"/>
        <w:keepNext w:val="0"/>
        <w:keepLines w:val="0"/>
        <w:pageBreakBefore w:val="0"/>
        <w:tabs>
          <w:tab w:val="left" w:pos="1152"/>
        </w:tabs>
        <w:kinsoku/>
        <w:wordWrap/>
        <w:overflowPunct/>
        <w:topLinePunct w:val="0"/>
        <w:autoSpaceDE/>
        <w:autoSpaceDN/>
        <w:bidi w:val="0"/>
        <w:adjustRightInd/>
        <w:snapToGrid/>
        <w:spacing w:line="560" w:lineRule="exact"/>
        <w:ind w:firstLine="680"/>
        <w:textAlignment w:val="auto"/>
        <w:rPr>
          <w:rFonts w:ascii="仿宋_GB2312" w:hAnsi="Times New Roman" w:eastAsia="仿宋_GB2312" w:cs="Times New Roman"/>
          <w:color w:val="auto"/>
          <w:sz w:val="32"/>
          <w:szCs w:val="32"/>
          <w:lang w:val="en-US" w:eastAsia="zh-CN" w:bidi="ar-SA"/>
        </w:rPr>
      </w:pPr>
      <w:r>
        <w:rPr>
          <w:rFonts w:hint="eastAsia" w:ascii="仿宋_GB2312" w:hAnsi="Times New Roman" w:eastAsia="仿宋_GB2312" w:cs="Times New Roman"/>
          <w:color w:val="auto"/>
          <w:sz w:val="32"/>
          <w:szCs w:val="32"/>
          <w:lang w:val="en-US" w:eastAsia="zh-CN" w:bidi="ar-SA"/>
        </w:rPr>
        <w:t>1、</w:t>
      </w:r>
      <w:r>
        <w:rPr>
          <w:rFonts w:ascii="仿宋_GB2312" w:hAnsi="Times New Roman" w:eastAsia="仿宋_GB2312" w:cs="Times New Roman"/>
          <w:color w:val="auto"/>
          <w:sz w:val="32"/>
          <w:szCs w:val="32"/>
          <w:lang w:val="en-US" w:eastAsia="zh-CN" w:bidi="ar-SA"/>
        </w:rPr>
        <w:t>项目组织情况分析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ascii="仿宋_GB2312" w:hAnsi="Times New Roman" w:eastAsia="仿宋_GB2312"/>
          <w:color w:val="auto"/>
          <w:sz w:val="32"/>
          <w:szCs w:val="32"/>
        </w:rPr>
      </w:pPr>
      <w:r>
        <w:rPr>
          <w:rFonts w:hint="eastAsia" w:ascii="仿宋_GB2312" w:hAnsi="Times New Roman" w:eastAsia="仿宋_GB2312"/>
          <w:color w:val="auto"/>
          <w:sz w:val="32"/>
          <w:szCs w:val="32"/>
        </w:rPr>
        <w:t>该项目在实施阶段均制定了具体的组织实施文件（申报指南、评审办法、立项文件等），各个立项项目均经过项目申报、项目评审、项目立项、资金拨付、项目验收等流程。其中项目申报环节明确资金支付范围和重点、支持条件、组织方式和申报要求。项目评审环节严格执行相关考评办法，明确评审及现场考察工作程序及要求。项目立项环节由区政协办公室审议通过。项目后期管理环节包括监督、检查项目的执行情况；协调解决项目执行中的重大问题，保障项目按进度正常进行；组织项目验收等。</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ascii="仿宋_GB2312" w:hAnsi="Times New Roman" w:eastAsia="仿宋_GB2312"/>
          <w:color w:val="auto"/>
          <w:sz w:val="32"/>
          <w:szCs w:val="32"/>
        </w:rPr>
      </w:pPr>
      <w:r>
        <w:rPr>
          <w:rFonts w:hint="eastAsia" w:ascii="仿宋_GB2312" w:hAnsi="Times New Roman" w:eastAsia="仿宋_GB2312"/>
          <w:color w:val="auto"/>
          <w:sz w:val="32"/>
          <w:szCs w:val="32"/>
        </w:rPr>
        <w:t>本次评价认为：该项目组织机构设置合理，项目均按照流程执行，中期有检查，后期有验收。</w:t>
      </w:r>
    </w:p>
    <w:p>
      <w:pPr>
        <w:pStyle w:val="14"/>
        <w:keepNext w:val="0"/>
        <w:keepLines w:val="0"/>
        <w:pageBreakBefore w:val="0"/>
        <w:kinsoku/>
        <w:wordWrap/>
        <w:overflowPunct/>
        <w:topLinePunct w:val="0"/>
        <w:autoSpaceDE/>
        <w:autoSpaceDN/>
        <w:bidi w:val="0"/>
        <w:adjustRightInd/>
        <w:snapToGrid/>
        <w:spacing w:line="560" w:lineRule="exact"/>
        <w:ind w:firstLine="660"/>
        <w:textAlignment w:val="auto"/>
        <w:rPr>
          <w:rFonts w:ascii="仿宋_GB2312" w:hAnsi="Times New Roman" w:eastAsia="仿宋_GB2312" w:cs="Times New Roman"/>
          <w:color w:val="auto"/>
          <w:sz w:val="32"/>
          <w:szCs w:val="32"/>
          <w:lang w:val="en-US" w:eastAsia="zh-CN" w:bidi="ar-SA"/>
        </w:rPr>
      </w:pPr>
      <w:r>
        <w:rPr>
          <w:rFonts w:hint="eastAsia" w:ascii="仿宋_GB2312" w:hAnsi="Times New Roman" w:eastAsia="仿宋_GB2312" w:cs="Times New Roman"/>
          <w:color w:val="auto"/>
          <w:sz w:val="32"/>
          <w:szCs w:val="32"/>
          <w:lang w:val="en-US" w:eastAsia="zh-CN" w:bidi="ar-SA"/>
        </w:rPr>
        <w:t>2、</w:t>
      </w:r>
      <w:r>
        <w:rPr>
          <w:rFonts w:ascii="仿宋_GB2312" w:hAnsi="Times New Roman" w:eastAsia="仿宋_GB2312" w:cs="Times New Roman"/>
          <w:color w:val="auto"/>
          <w:sz w:val="32"/>
          <w:szCs w:val="32"/>
          <w:lang w:val="en-US" w:eastAsia="zh-CN" w:bidi="ar-SA"/>
        </w:rPr>
        <w:t>项目管理情况分析</w:t>
      </w:r>
    </w:p>
    <w:p>
      <w:pPr>
        <w:pStyle w:val="14"/>
        <w:keepNext w:val="0"/>
        <w:keepLines w:val="0"/>
        <w:pageBreakBefore w:val="0"/>
        <w:kinsoku/>
        <w:wordWrap/>
        <w:overflowPunct/>
        <w:topLinePunct w:val="0"/>
        <w:autoSpaceDE/>
        <w:autoSpaceDN/>
        <w:bidi w:val="0"/>
        <w:adjustRightInd/>
        <w:snapToGrid/>
        <w:spacing w:line="560" w:lineRule="exact"/>
        <w:ind w:firstLine="660"/>
        <w:textAlignment w:val="auto"/>
        <w:rPr>
          <w:rFonts w:ascii="仿宋_GB2312" w:hAnsi="Times New Roman" w:eastAsia="仿宋_GB2312" w:cs="Times New Roman"/>
          <w:color w:val="auto"/>
          <w:sz w:val="32"/>
          <w:szCs w:val="32"/>
          <w:lang w:val="en-US" w:eastAsia="zh-CN" w:bidi="ar-SA"/>
        </w:rPr>
      </w:pPr>
      <w:r>
        <w:rPr>
          <w:rFonts w:ascii="仿宋_GB2312" w:hAnsi="Times New Roman" w:eastAsia="仿宋_GB2312" w:cs="Times New Roman"/>
          <w:color w:val="auto"/>
          <w:sz w:val="32"/>
          <w:szCs w:val="32"/>
          <w:lang w:val="en-US" w:eastAsia="zh-CN" w:bidi="ar-SA"/>
        </w:rPr>
        <w:t>该项目制定了较为全面的管理制度，严格按照</w:t>
      </w:r>
      <w:r>
        <w:rPr>
          <w:rFonts w:hint="eastAsia" w:ascii="仿宋_GB2312" w:hAnsi="Times New Roman" w:eastAsia="仿宋_GB2312" w:cs="Times New Roman"/>
          <w:color w:val="auto"/>
          <w:sz w:val="32"/>
          <w:szCs w:val="32"/>
          <w:lang w:val="en-US" w:eastAsia="zh-CN" w:bidi="ar-SA"/>
        </w:rPr>
        <w:t>《乌尔禾区单位办公设备购置管理办法》《乌尔禾区单位办公用品管理暂行办法》的要求，</w:t>
      </w:r>
      <w:r>
        <w:rPr>
          <w:rFonts w:ascii="仿宋_GB2312" w:hAnsi="Times New Roman" w:eastAsia="仿宋_GB2312" w:cs="Times New Roman"/>
          <w:color w:val="auto"/>
          <w:sz w:val="32"/>
          <w:szCs w:val="32"/>
          <w:lang w:val="en-US" w:eastAsia="zh-CN" w:bidi="ar-SA"/>
        </w:rPr>
        <w:t>由区政协办公室经管员负责，凡是购置、更新办公设备的，一律先提出申请，报分管领导和主管领导审批同意后，再由办公室按照区财政局有关规定进行采购。</w:t>
      </w:r>
    </w:p>
    <w:p>
      <w:pPr>
        <w:pStyle w:val="14"/>
        <w:keepNext w:val="0"/>
        <w:keepLines w:val="0"/>
        <w:pageBreakBefore w:val="0"/>
        <w:kinsoku/>
        <w:wordWrap/>
        <w:overflowPunct/>
        <w:topLinePunct w:val="0"/>
        <w:autoSpaceDE/>
        <w:autoSpaceDN/>
        <w:bidi w:val="0"/>
        <w:adjustRightInd/>
        <w:snapToGrid/>
        <w:spacing w:line="560" w:lineRule="exact"/>
        <w:ind w:firstLine="660"/>
        <w:textAlignment w:val="auto"/>
        <w:rPr>
          <w:rFonts w:ascii="仿宋_GB2312" w:hAnsi="Times New Roman" w:eastAsia="仿宋_GB2312" w:cs="Times New Roman"/>
          <w:color w:val="auto"/>
          <w:sz w:val="32"/>
          <w:szCs w:val="32"/>
        </w:rPr>
      </w:pPr>
      <w:r>
        <w:rPr>
          <w:rFonts w:ascii="仿宋_GB2312" w:hAnsi="Times New Roman" w:eastAsia="仿宋_GB2312" w:cs="Times New Roman"/>
          <w:color w:val="auto"/>
          <w:sz w:val="32"/>
          <w:szCs w:val="32"/>
          <w:lang w:val="en-US" w:eastAsia="zh-CN" w:bidi="ar-SA"/>
        </w:rPr>
        <w:t>本次评价认为：项目政策及管理办法基本完善，做到了对每个环节进行把控。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ascii="仿宋_GB2312" w:hAnsi="Times New Roman" w:eastAsia="仿宋_GB2312"/>
          <w:color w:val="auto"/>
          <w:sz w:val="32"/>
          <w:szCs w:val="32"/>
        </w:rPr>
      </w:pPr>
      <w:r>
        <w:rPr>
          <w:rFonts w:hint="eastAsia" w:ascii="仿宋_GB2312" w:hAnsi="Times New Roman" w:eastAsia="仿宋_GB2312"/>
          <w:color w:val="auto"/>
          <w:sz w:val="32"/>
          <w:szCs w:val="32"/>
        </w:rPr>
        <w:t>（三）项目产出情况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ascii="仿宋_GB2312" w:hAnsi="Times New Roman" w:eastAsia="仿宋_GB2312"/>
          <w:color w:val="auto"/>
          <w:sz w:val="32"/>
          <w:szCs w:val="32"/>
        </w:rPr>
      </w:pPr>
      <w:r>
        <w:rPr>
          <w:rFonts w:hint="eastAsia" w:ascii="仿宋_GB2312" w:hAnsi="Times New Roman" w:eastAsia="仿宋_GB2312"/>
          <w:color w:val="auto"/>
          <w:sz w:val="32"/>
          <w:szCs w:val="32"/>
        </w:rPr>
        <w:t>项目产出数量、质量、时效、成本指标完成情况如下：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ascii="仿宋_GB2312" w:hAnsi="Times New Roman" w:eastAsia="仿宋_GB2312"/>
          <w:color w:val="auto"/>
          <w:sz w:val="32"/>
          <w:szCs w:val="32"/>
        </w:rPr>
      </w:pPr>
      <w:r>
        <w:rPr>
          <w:rFonts w:hint="eastAsia" w:ascii="仿宋_GB2312" w:hAnsi="Times New Roman" w:eastAsia="仿宋_GB2312"/>
          <w:color w:val="auto"/>
          <w:sz w:val="32"/>
          <w:szCs w:val="32"/>
        </w:rPr>
        <w:t>项目指标值10个，实际完成值10个，完成率100%;</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outlineLvl w:val="0"/>
        <w:rPr>
          <w:rFonts w:hint="default" w:ascii="Times New Roman" w:hAnsi="Times New Roman" w:eastAsia="仿宋_GB2312" w:cs="Times New Roman"/>
          <w:bCs/>
          <w:color w:val="auto"/>
          <w:spacing w:val="-4"/>
          <w:kern w:val="2"/>
          <w:sz w:val="32"/>
          <w:szCs w:val="32"/>
          <w:highlight w:val="none"/>
          <w:u w:val="none"/>
          <w:shd w:val="clear" w:color="auto" w:fill="auto"/>
          <w:lang w:val="en-US" w:eastAsia="zh-CN" w:bidi="ar-SA"/>
        </w:rPr>
      </w:pPr>
      <w:bookmarkStart w:id="12" w:name="bookmark86"/>
      <w:bookmarkEnd w:id="12"/>
      <w:r>
        <w:rPr>
          <w:rFonts w:hint="default" w:ascii="Times New Roman" w:hAnsi="Times New Roman" w:eastAsia="仿宋_GB2312" w:cs="Times New Roman"/>
          <w:bCs/>
          <w:color w:val="auto"/>
          <w:spacing w:val="-4"/>
          <w:kern w:val="2"/>
          <w:sz w:val="32"/>
          <w:szCs w:val="32"/>
          <w:highlight w:val="none"/>
          <w:u w:val="none"/>
          <w:shd w:val="clear" w:color="auto" w:fill="auto"/>
          <w:lang w:val="en-US" w:eastAsia="zh-CN" w:bidi="ar-SA"/>
        </w:rPr>
        <w:t>截止2019年12月31日，根据设定数量指标已全部完成，得分</w:t>
      </w:r>
      <w:r>
        <w:rPr>
          <w:rFonts w:hint="eastAsia" w:ascii="Times New Roman" w:hAnsi="Times New Roman" w:eastAsia="仿宋_GB2312" w:cs="Times New Roman"/>
          <w:bCs/>
          <w:color w:val="auto"/>
          <w:spacing w:val="-4"/>
          <w:kern w:val="2"/>
          <w:sz w:val="32"/>
          <w:szCs w:val="32"/>
          <w:highlight w:val="none"/>
          <w:u w:val="none"/>
          <w:shd w:val="clear" w:color="auto" w:fill="auto"/>
          <w:lang w:val="en-US" w:eastAsia="zh-CN" w:bidi="ar-SA"/>
        </w:rPr>
        <w:t>8</w:t>
      </w:r>
      <w:r>
        <w:rPr>
          <w:rFonts w:hint="default" w:ascii="Times New Roman" w:hAnsi="Times New Roman" w:eastAsia="仿宋_GB2312" w:cs="Times New Roman"/>
          <w:bCs/>
          <w:color w:val="auto"/>
          <w:spacing w:val="-4"/>
          <w:kern w:val="2"/>
          <w:sz w:val="32"/>
          <w:szCs w:val="32"/>
          <w:highlight w:val="none"/>
          <w:u w:val="none"/>
          <w:shd w:val="clear" w:color="auto" w:fill="auto"/>
          <w:lang w:val="en-US" w:eastAsia="zh-CN" w:bidi="ar-SA"/>
        </w:rPr>
        <w:t>分；根据设定质量指标已全部完成，得分</w:t>
      </w:r>
      <w:r>
        <w:rPr>
          <w:rFonts w:hint="eastAsia" w:ascii="Times New Roman" w:hAnsi="Times New Roman" w:eastAsia="仿宋_GB2312" w:cs="Times New Roman"/>
          <w:bCs/>
          <w:color w:val="auto"/>
          <w:spacing w:val="-4"/>
          <w:kern w:val="2"/>
          <w:sz w:val="32"/>
          <w:szCs w:val="32"/>
          <w:highlight w:val="none"/>
          <w:u w:val="none"/>
          <w:shd w:val="clear" w:color="auto" w:fill="auto"/>
          <w:lang w:val="en-US" w:eastAsia="zh-CN" w:bidi="ar-SA"/>
        </w:rPr>
        <w:t>7</w:t>
      </w:r>
      <w:r>
        <w:rPr>
          <w:rFonts w:hint="default" w:ascii="Times New Roman" w:hAnsi="Times New Roman" w:eastAsia="仿宋_GB2312" w:cs="Times New Roman"/>
          <w:bCs/>
          <w:color w:val="auto"/>
          <w:spacing w:val="-4"/>
          <w:kern w:val="2"/>
          <w:sz w:val="32"/>
          <w:szCs w:val="32"/>
          <w:highlight w:val="none"/>
          <w:u w:val="none"/>
          <w:shd w:val="clear" w:color="auto" w:fill="auto"/>
          <w:lang w:val="en-US" w:eastAsia="zh-CN" w:bidi="ar-SA"/>
        </w:rPr>
        <w:t>分；根据设定时效指标已全部完成，得分</w:t>
      </w:r>
      <w:r>
        <w:rPr>
          <w:rFonts w:hint="eastAsia" w:ascii="Times New Roman" w:hAnsi="Times New Roman" w:eastAsia="仿宋_GB2312" w:cs="Times New Roman"/>
          <w:bCs/>
          <w:color w:val="auto"/>
          <w:spacing w:val="-4"/>
          <w:kern w:val="2"/>
          <w:sz w:val="32"/>
          <w:szCs w:val="32"/>
          <w:highlight w:val="none"/>
          <w:u w:val="none"/>
          <w:shd w:val="clear" w:color="auto" w:fill="auto"/>
          <w:lang w:val="en-US" w:eastAsia="zh-CN" w:bidi="ar-SA"/>
        </w:rPr>
        <w:t>8</w:t>
      </w:r>
      <w:r>
        <w:rPr>
          <w:rFonts w:hint="default" w:ascii="Times New Roman" w:hAnsi="Times New Roman" w:eastAsia="仿宋_GB2312" w:cs="Times New Roman"/>
          <w:bCs/>
          <w:color w:val="auto"/>
          <w:spacing w:val="-4"/>
          <w:kern w:val="2"/>
          <w:sz w:val="32"/>
          <w:szCs w:val="32"/>
          <w:highlight w:val="none"/>
          <w:u w:val="none"/>
          <w:shd w:val="clear" w:color="auto" w:fill="auto"/>
          <w:lang w:val="en-US" w:eastAsia="zh-CN" w:bidi="ar-SA"/>
        </w:rPr>
        <w:t>分；根据设定成本指标已全部完成，得分</w:t>
      </w:r>
      <w:r>
        <w:rPr>
          <w:rFonts w:hint="eastAsia" w:ascii="Times New Roman" w:hAnsi="Times New Roman" w:eastAsia="仿宋_GB2312" w:cs="Times New Roman"/>
          <w:bCs/>
          <w:color w:val="auto"/>
          <w:spacing w:val="-4"/>
          <w:kern w:val="2"/>
          <w:sz w:val="32"/>
          <w:szCs w:val="32"/>
          <w:highlight w:val="none"/>
          <w:u w:val="none"/>
          <w:shd w:val="clear" w:color="auto" w:fill="auto"/>
          <w:lang w:val="en-US" w:eastAsia="zh-CN" w:bidi="ar-SA"/>
        </w:rPr>
        <w:t>7</w:t>
      </w:r>
      <w:r>
        <w:rPr>
          <w:rFonts w:hint="default" w:ascii="Times New Roman" w:hAnsi="Times New Roman" w:eastAsia="仿宋_GB2312" w:cs="Times New Roman"/>
          <w:bCs/>
          <w:color w:val="auto"/>
          <w:spacing w:val="-4"/>
          <w:kern w:val="2"/>
          <w:sz w:val="32"/>
          <w:szCs w:val="32"/>
          <w:highlight w:val="none"/>
          <w:u w:val="none"/>
          <w:shd w:val="clear" w:color="auto" w:fill="auto"/>
          <w:lang w:val="en-US" w:eastAsia="zh-CN" w:bidi="ar-SA"/>
        </w:rPr>
        <w:t>分；项目产出情况合计得分</w:t>
      </w:r>
      <w:r>
        <w:rPr>
          <w:rFonts w:hint="eastAsia" w:ascii="Times New Roman" w:hAnsi="Times New Roman" w:eastAsia="仿宋_GB2312" w:cs="Times New Roman"/>
          <w:bCs/>
          <w:color w:val="auto"/>
          <w:spacing w:val="-4"/>
          <w:kern w:val="2"/>
          <w:sz w:val="32"/>
          <w:szCs w:val="32"/>
          <w:highlight w:val="none"/>
          <w:u w:val="none"/>
          <w:shd w:val="clear" w:color="auto" w:fill="auto"/>
          <w:lang w:val="en-US" w:eastAsia="zh-CN" w:bidi="ar-SA"/>
        </w:rPr>
        <w:t>30</w:t>
      </w:r>
      <w:r>
        <w:rPr>
          <w:rFonts w:hint="default" w:ascii="Times New Roman" w:hAnsi="Times New Roman" w:eastAsia="仿宋_GB2312" w:cs="Times New Roman"/>
          <w:bCs/>
          <w:color w:val="auto"/>
          <w:spacing w:val="-4"/>
          <w:kern w:val="2"/>
          <w:sz w:val="32"/>
          <w:szCs w:val="32"/>
          <w:highlight w:val="none"/>
          <w:u w:val="none"/>
          <w:shd w:val="clear" w:color="auto" w:fill="auto"/>
          <w:lang w:val="en-US" w:eastAsia="zh-CN" w:bidi="ar-SA"/>
        </w:rPr>
        <w:t>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ascii="仿宋_GB2312" w:hAnsi="Times New Roman" w:eastAsia="仿宋_GB2312"/>
          <w:color w:val="auto"/>
          <w:sz w:val="32"/>
          <w:szCs w:val="32"/>
        </w:rPr>
      </w:pPr>
      <w:bookmarkStart w:id="16" w:name="_GoBack"/>
      <w:bookmarkEnd w:id="16"/>
      <w:r>
        <w:rPr>
          <w:rFonts w:hint="eastAsia" w:ascii="仿宋_GB2312" w:hAnsi="Times New Roman" w:eastAsia="仿宋_GB2312"/>
          <w:color w:val="auto"/>
          <w:sz w:val="32"/>
          <w:szCs w:val="32"/>
        </w:rPr>
        <w:t>（四）项目效益情况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ascii="仿宋_GB2312" w:hAnsi="Times New Roman" w:eastAsia="仿宋_GB2312"/>
          <w:color w:val="auto"/>
          <w:sz w:val="32"/>
          <w:szCs w:val="32"/>
        </w:rPr>
      </w:pPr>
      <w:r>
        <w:rPr>
          <w:rFonts w:hint="eastAsia" w:ascii="仿宋_GB2312" w:hAnsi="Times New Roman" w:eastAsia="仿宋_GB2312"/>
          <w:color w:val="auto"/>
          <w:sz w:val="32"/>
          <w:szCs w:val="32"/>
        </w:rPr>
        <w:t>项目社会效益、经济效益、可持续影响、生态效益指标完成情况如下：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ascii="仿宋_GB2312" w:hAnsi="Times New Roman" w:eastAsia="仿宋_GB2312"/>
          <w:color w:val="auto"/>
          <w:sz w:val="32"/>
          <w:szCs w:val="32"/>
        </w:rPr>
      </w:pPr>
      <w:bookmarkStart w:id="13" w:name="bookmark88"/>
      <w:bookmarkEnd w:id="13"/>
      <w:r>
        <w:rPr>
          <w:rFonts w:hint="eastAsia" w:ascii="仿宋_GB2312" w:hAnsi="Times New Roman" w:eastAsia="仿宋_GB2312"/>
          <w:color w:val="auto"/>
          <w:sz w:val="32"/>
          <w:szCs w:val="32"/>
        </w:rPr>
        <w:t>无经济效益、生态效益指标。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ascii="仿宋_GB2312" w:hAnsi="Times New Roman" w:eastAsia="仿宋_GB2312"/>
          <w:color w:val="auto"/>
          <w:sz w:val="32"/>
          <w:szCs w:val="32"/>
        </w:rPr>
      </w:pPr>
      <w:r>
        <w:rPr>
          <w:rFonts w:hint="eastAsia" w:ascii="仿宋_GB2312" w:hAnsi="Times New Roman" w:eastAsia="仿宋_GB2312"/>
          <w:color w:val="auto"/>
          <w:sz w:val="32"/>
          <w:szCs w:val="32"/>
        </w:rPr>
        <w:t>（1）使用人员工作效率提高率指标值≥10%,实际完成值达10%；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ascii="仿宋_GB2312" w:hAnsi="Times New Roman" w:eastAsia="仿宋_GB2312"/>
          <w:color w:val="auto"/>
          <w:sz w:val="32"/>
          <w:szCs w:val="32"/>
        </w:rPr>
      </w:pPr>
      <w:bookmarkStart w:id="14" w:name="bookmark89"/>
      <w:bookmarkEnd w:id="14"/>
      <w:r>
        <w:rPr>
          <w:rFonts w:hint="eastAsia" w:ascii="仿宋_GB2312" w:hAnsi="Times New Roman" w:eastAsia="仿宋_GB2312"/>
          <w:color w:val="auto"/>
          <w:sz w:val="32"/>
          <w:szCs w:val="32"/>
        </w:rPr>
        <w:t>（2）设备使用年限指标值≥1年，实际完成值达</w:t>
      </w:r>
      <w:bookmarkStart w:id="15" w:name="bookmark90"/>
      <w:bookmarkEnd w:id="15"/>
      <w:r>
        <w:rPr>
          <w:rFonts w:hint="eastAsia" w:ascii="仿宋_GB2312" w:hAnsi="Times New Roman" w:eastAsia="仿宋_GB2312"/>
          <w:color w:val="auto"/>
          <w:sz w:val="32"/>
          <w:szCs w:val="32"/>
        </w:rPr>
        <w:t>1年；</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ascii="仿宋_GB2312" w:hAnsi="Times New Roman" w:eastAsia="仿宋_GB2312"/>
          <w:color w:val="auto"/>
          <w:sz w:val="32"/>
          <w:szCs w:val="32"/>
        </w:rPr>
      </w:pPr>
      <w:r>
        <w:rPr>
          <w:rFonts w:hint="eastAsia" w:ascii="仿宋_GB2312" w:hAnsi="Times New Roman" w:eastAsia="仿宋_GB2312"/>
          <w:color w:val="auto"/>
          <w:sz w:val="32"/>
          <w:szCs w:val="32"/>
        </w:rPr>
        <w:t>（3）机关工作效率提升指标值≥10%，实际完成值达10%。</w:t>
      </w:r>
    </w:p>
    <w:p>
      <w:pPr>
        <w:spacing w:line="600" w:lineRule="exact"/>
        <w:ind w:firstLine="600" w:firstLineChars="200"/>
        <w:outlineLvl w:val="0"/>
        <w:rPr>
          <w:rFonts w:ascii="仿宋_GB2312" w:hAnsi="Times New Roman" w:eastAsia="仿宋_GB2312"/>
          <w:color w:val="auto"/>
          <w:sz w:val="32"/>
          <w:szCs w:val="32"/>
        </w:rPr>
      </w:pPr>
      <w:r>
        <w:rPr>
          <w:rFonts w:hint="eastAsia" w:ascii="仿宋_GB2312" w:hAnsi="Times New Roman" w:eastAsia="仿宋_GB2312"/>
          <w:color w:val="auto"/>
          <w:sz w:val="30"/>
          <w:szCs w:val="24"/>
          <w:highlight w:val="none"/>
        </w:rPr>
        <w:t>截止2019年12月31日，根据设定经济效益指标无，得分0分；根据设定社会效益指标已全部完成，得分</w:t>
      </w:r>
      <w:r>
        <w:rPr>
          <w:rFonts w:hint="eastAsia" w:ascii="仿宋_GB2312" w:hAnsi="Times New Roman" w:eastAsia="仿宋_GB2312"/>
          <w:color w:val="auto"/>
          <w:sz w:val="30"/>
          <w:szCs w:val="24"/>
          <w:highlight w:val="none"/>
          <w:lang w:val="en-US" w:eastAsia="zh-CN"/>
        </w:rPr>
        <w:t>10</w:t>
      </w:r>
      <w:r>
        <w:rPr>
          <w:rFonts w:hint="eastAsia" w:ascii="仿宋_GB2312" w:hAnsi="Times New Roman" w:eastAsia="仿宋_GB2312"/>
          <w:color w:val="auto"/>
          <w:sz w:val="30"/>
          <w:szCs w:val="24"/>
          <w:highlight w:val="none"/>
        </w:rPr>
        <w:t>分；根据设定生态效益指标无，得分0分；根据设定可持续影响指标已全部完成，得分</w:t>
      </w:r>
      <w:r>
        <w:rPr>
          <w:rFonts w:hint="eastAsia" w:ascii="仿宋_GB2312" w:hAnsi="Times New Roman" w:eastAsia="仿宋_GB2312"/>
          <w:color w:val="auto"/>
          <w:sz w:val="30"/>
          <w:szCs w:val="24"/>
          <w:highlight w:val="none"/>
          <w:lang w:val="en-US" w:eastAsia="zh-CN"/>
        </w:rPr>
        <w:t>10</w:t>
      </w:r>
      <w:r>
        <w:rPr>
          <w:rFonts w:hint="eastAsia" w:ascii="仿宋_GB2312" w:hAnsi="Times New Roman" w:eastAsia="仿宋_GB2312"/>
          <w:color w:val="auto"/>
          <w:sz w:val="30"/>
          <w:szCs w:val="24"/>
          <w:highlight w:val="none"/>
        </w:rPr>
        <w:t>分；项目效益情况合计得分</w:t>
      </w:r>
      <w:r>
        <w:rPr>
          <w:rFonts w:hint="eastAsia" w:ascii="仿宋_GB2312" w:hAnsi="Times New Roman" w:eastAsia="仿宋_GB2312"/>
          <w:color w:val="auto"/>
          <w:sz w:val="30"/>
          <w:szCs w:val="24"/>
          <w:highlight w:val="none"/>
          <w:lang w:val="en-US" w:eastAsia="zh-CN"/>
        </w:rPr>
        <w:t>20</w:t>
      </w:r>
      <w:r>
        <w:rPr>
          <w:rFonts w:hint="eastAsia" w:ascii="仿宋_GB2312" w:hAnsi="Times New Roman" w:eastAsia="仿宋_GB2312"/>
          <w:color w:val="auto"/>
          <w:sz w:val="30"/>
          <w:szCs w:val="24"/>
          <w:highlight w:val="none"/>
        </w:rPr>
        <w:t>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ascii="仿宋_GB2312" w:hAnsi="Times New Roman" w:eastAsia="仿宋_GB2312"/>
          <w:color w:val="auto"/>
          <w:sz w:val="32"/>
          <w:szCs w:val="32"/>
        </w:rPr>
      </w:pPr>
      <w:r>
        <w:rPr>
          <w:rFonts w:hint="eastAsia" w:ascii="仿宋_GB2312" w:hAnsi="Times New Roman" w:eastAsia="仿宋_GB2312"/>
          <w:color w:val="auto"/>
          <w:sz w:val="32"/>
          <w:szCs w:val="32"/>
        </w:rPr>
        <w:t>（五）满意度情况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ascii="仿宋_GB2312" w:hAnsi="Times New Roman" w:eastAsia="仿宋_GB2312"/>
          <w:color w:val="auto"/>
          <w:sz w:val="32"/>
          <w:szCs w:val="32"/>
        </w:rPr>
      </w:pPr>
      <w:r>
        <w:rPr>
          <w:rFonts w:hint="eastAsia" w:ascii="仿宋_GB2312" w:hAnsi="Times New Roman" w:eastAsia="仿宋_GB2312"/>
          <w:color w:val="auto"/>
          <w:sz w:val="32"/>
          <w:szCs w:val="32"/>
        </w:rPr>
        <w:t>使用购买设备人员满意度指标值≥80%，实际完成值达80%。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ascii="仿宋_GB2312" w:hAnsi="Times New Roman" w:eastAsia="仿宋_GB2312"/>
          <w:color w:val="auto"/>
          <w:sz w:val="32"/>
          <w:szCs w:val="32"/>
        </w:rPr>
      </w:pPr>
      <w:r>
        <w:rPr>
          <w:rFonts w:hint="eastAsia" w:ascii="仿宋_GB2312" w:hAnsi="Times New Roman" w:eastAsia="仿宋_GB2312"/>
          <w:color w:val="auto"/>
          <w:sz w:val="32"/>
          <w:szCs w:val="32"/>
        </w:rPr>
        <w:t>截止2019年12月31日，根据设定该项目满意度指标已达到预期成效；满意度指标合计得分10分。</w:t>
      </w:r>
    </w:p>
    <w:p>
      <w:pPr>
        <w:keepNext w:val="0"/>
        <w:keepLines w:val="0"/>
        <w:pageBreakBefore w:val="0"/>
        <w:numPr>
          <w:ilvl w:val="0"/>
          <w:numId w:val="5"/>
        </w:numPr>
        <w:kinsoku/>
        <w:wordWrap/>
        <w:overflowPunct/>
        <w:topLinePunct w:val="0"/>
        <w:autoSpaceDE/>
        <w:autoSpaceDN/>
        <w:bidi w:val="0"/>
        <w:adjustRightInd/>
        <w:snapToGrid/>
        <w:spacing w:line="560" w:lineRule="exact"/>
        <w:ind w:firstLine="640" w:firstLineChars="200"/>
        <w:textAlignment w:val="auto"/>
        <w:rPr>
          <w:rFonts w:ascii="黑体" w:hAnsi="黑体" w:eastAsia="黑体"/>
          <w:color w:val="auto"/>
          <w:sz w:val="32"/>
          <w:szCs w:val="32"/>
        </w:rPr>
      </w:pPr>
      <w:r>
        <w:rPr>
          <w:rFonts w:hint="eastAsia" w:ascii="黑体" w:hAnsi="黑体" w:eastAsia="黑体"/>
          <w:color w:val="auto"/>
          <w:sz w:val="32"/>
          <w:szCs w:val="32"/>
        </w:rPr>
        <w:t>主要经验及做法、存在的问题及原因分析</w:t>
      </w:r>
    </w:p>
    <w:p>
      <w:pPr>
        <w:pStyle w:val="19"/>
        <w:keepNext w:val="0"/>
        <w:keepLines w:val="0"/>
        <w:pageBreakBefore w:val="0"/>
        <w:kinsoku/>
        <w:wordWrap/>
        <w:overflowPunct/>
        <w:topLinePunct w:val="0"/>
        <w:autoSpaceDE/>
        <w:autoSpaceDN/>
        <w:bidi w:val="0"/>
        <w:adjustRightInd/>
        <w:snapToGrid/>
        <w:spacing w:before="0" w:after="0" w:line="560" w:lineRule="exact"/>
        <w:ind w:left="420"/>
        <w:textAlignment w:val="auto"/>
        <w:rPr>
          <w:rFonts w:ascii="仿宋_GB2312" w:eastAsia="仿宋_GB2312"/>
          <w:b w:val="0"/>
          <w:snapToGrid/>
          <w:color w:val="auto"/>
          <w:kern w:val="2"/>
          <w:sz w:val="32"/>
          <w:szCs w:val="32"/>
        </w:rPr>
      </w:pPr>
      <w:r>
        <w:rPr>
          <w:rFonts w:hint="eastAsia" w:ascii="仿宋_GB2312" w:eastAsia="仿宋_GB2312"/>
          <w:b w:val="0"/>
          <w:snapToGrid/>
          <w:color w:val="auto"/>
          <w:kern w:val="2"/>
          <w:sz w:val="32"/>
          <w:szCs w:val="32"/>
        </w:rPr>
        <w:t>（一）主要经验及做法</w:t>
      </w:r>
    </w:p>
    <w:p>
      <w:pPr>
        <w:pStyle w:val="20"/>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eastAsia="仿宋_GB2312"/>
          <w:color w:val="auto"/>
          <w:kern w:val="2"/>
          <w:sz w:val="32"/>
          <w:szCs w:val="32"/>
        </w:rPr>
      </w:pPr>
      <w:r>
        <w:rPr>
          <w:rFonts w:hint="eastAsia" w:ascii="仿宋_GB2312" w:eastAsia="仿宋_GB2312"/>
          <w:color w:val="auto"/>
          <w:kern w:val="2"/>
          <w:sz w:val="32"/>
          <w:szCs w:val="32"/>
        </w:rPr>
        <w:t>1、严格执行财政部门下发的经费管理要求进行开支和管理，按照年初详细填列预算开支项目，严格遵守节约制度，落实地方财政预算管理、采购管理、财务管理等相关管理制度。</w:t>
      </w:r>
    </w:p>
    <w:p>
      <w:pPr>
        <w:pStyle w:val="20"/>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eastAsia="仿宋_GB2312"/>
          <w:color w:val="auto"/>
          <w:kern w:val="2"/>
          <w:sz w:val="32"/>
          <w:szCs w:val="32"/>
        </w:rPr>
      </w:pPr>
      <w:r>
        <w:rPr>
          <w:rFonts w:hint="eastAsia" w:ascii="仿宋_GB2312" w:eastAsia="仿宋_GB2312"/>
          <w:color w:val="auto"/>
          <w:kern w:val="2"/>
          <w:sz w:val="32"/>
          <w:szCs w:val="32"/>
        </w:rPr>
        <w:t>2、规范项目资金管理。在预算编制中，加强对项目的清理整合，优化支出结构，以项目支出促进业务开展。通过规范项目资金支出管理，硬化预算约束，建立：预算编制有目标、预算执行有监控。预算完成有评价、预算结果有反馈、反馈结果有运用的管理模式。</w:t>
      </w:r>
    </w:p>
    <w:p>
      <w:pPr>
        <w:pStyle w:val="20"/>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eastAsia="仿宋_GB2312"/>
          <w:color w:val="auto"/>
          <w:kern w:val="2"/>
          <w:sz w:val="32"/>
          <w:szCs w:val="32"/>
        </w:rPr>
      </w:pPr>
      <w:r>
        <w:rPr>
          <w:rFonts w:hint="eastAsia" w:ascii="仿宋_GB2312" w:eastAsia="仿宋_GB2312"/>
          <w:color w:val="auto"/>
          <w:kern w:val="2"/>
          <w:sz w:val="32"/>
          <w:szCs w:val="32"/>
        </w:rPr>
        <w:t>3、进一步完善绩效评价、监督机制等方面的制度建设，扩大绩效评价的范围，对项目实施效果进行绩效跟踪和多方评估。对部门预算安排的项目支出，除提供相关依据外，必须报送绩效报告。</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ascii="仿宋_GB2312" w:hAnsi="Times New Roman" w:eastAsia="仿宋_GB2312"/>
          <w:color w:val="auto"/>
          <w:sz w:val="32"/>
          <w:szCs w:val="32"/>
        </w:rPr>
      </w:pPr>
      <w:r>
        <w:rPr>
          <w:rFonts w:hint="eastAsia" w:ascii="仿宋_GB2312" w:hAnsi="Times New Roman" w:eastAsia="仿宋_GB2312"/>
          <w:color w:val="auto"/>
          <w:sz w:val="32"/>
          <w:szCs w:val="32"/>
        </w:rPr>
        <w:t>（二）存在问题及原因分析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ascii="仿宋_GB2312" w:hAnsi="Times New Roman" w:eastAsia="仿宋_GB2312"/>
          <w:color w:val="auto"/>
          <w:sz w:val="32"/>
          <w:szCs w:val="32"/>
        </w:rPr>
      </w:pPr>
      <w:r>
        <w:rPr>
          <w:rFonts w:hint="eastAsia" w:ascii="仿宋_GB2312" w:hAnsi="Times New Roman" w:eastAsia="仿宋_GB2312"/>
          <w:color w:val="auto"/>
          <w:sz w:val="32"/>
          <w:szCs w:val="32"/>
        </w:rPr>
        <w:t>1、预算绩效管理有待提升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ascii="仿宋_GB2312" w:hAnsi="Times New Roman" w:eastAsia="仿宋_GB2312"/>
          <w:color w:val="auto"/>
          <w:sz w:val="32"/>
          <w:szCs w:val="32"/>
        </w:rPr>
      </w:pPr>
      <w:r>
        <w:rPr>
          <w:rFonts w:hint="eastAsia" w:ascii="仿宋_GB2312" w:hAnsi="Times New Roman" w:eastAsia="仿宋_GB2312"/>
          <w:color w:val="auto"/>
          <w:sz w:val="32"/>
          <w:szCs w:val="32"/>
        </w:rPr>
        <w:t>预算绩效管理水平不够，绩效理念树立尚不牢固，报告质量有待提高。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ascii="仿宋_GB2312" w:hAnsi="Times New Roman" w:eastAsia="仿宋_GB2312"/>
          <w:color w:val="auto"/>
          <w:sz w:val="32"/>
          <w:szCs w:val="32"/>
        </w:rPr>
      </w:pPr>
      <w:r>
        <w:rPr>
          <w:rFonts w:hint="eastAsia" w:ascii="仿宋_GB2312" w:hAnsi="Times New Roman" w:eastAsia="仿宋_GB2312"/>
          <w:color w:val="auto"/>
          <w:sz w:val="32"/>
          <w:szCs w:val="32"/>
        </w:rPr>
        <w:t>2、</w:t>
      </w:r>
      <w:r>
        <w:rPr>
          <w:rFonts w:ascii="仿宋_GB2312" w:hAnsi="Times New Roman" w:eastAsia="仿宋_GB2312"/>
          <w:color w:val="auto"/>
          <w:sz w:val="32"/>
          <w:szCs w:val="32"/>
        </w:rPr>
        <w:t>项目分项管理工作不足。</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ascii="仿宋_GB2312" w:hAnsi="Times New Roman" w:eastAsia="仿宋_GB2312"/>
          <w:color w:val="auto"/>
          <w:sz w:val="32"/>
          <w:szCs w:val="32"/>
        </w:rPr>
      </w:pPr>
      <w:r>
        <w:rPr>
          <w:rFonts w:ascii="仿宋_GB2312" w:hAnsi="Times New Roman" w:eastAsia="仿宋_GB2312"/>
          <w:color w:val="auto"/>
          <w:sz w:val="32"/>
          <w:szCs w:val="32"/>
        </w:rPr>
        <w:t>办公设备购置经费包含小类项目较多，但由于年中区委等相关部门对于相关工作可能有新的要求，并不能在预算时</w:t>
      </w:r>
      <w:r>
        <w:rPr>
          <w:rFonts w:hint="eastAsia" w:ascii="仿宋_GB2312" w:hAnsi="Times New Roman" w:eastAsia="仿宋_GB2312"/>
          <w:color w:val="auto"/>
          <w:sz w:val="32"/>
          <w:szCs w:val="32"/>
        </w:rPr>
        <w:t>完全</w:t>
      </w:r>
      <w:r>
        <w:rPr>
          <w:rFonts w:ascii="仿宋_GB2312" w:hAnsi="Times New Roman" w:eastAsia="仿宋_GB2312"/>
          <w:color w:val="auto"/>
          <w:sz w:val="32"/>
          <w:szCs w:val="32"/>
        </w:rPr>
        <w:t>把握到位，造成项目遇到各种不确定因素。</w:t>
      </w:r>
    </w:p>
    <w:p>
      <w:pPr>
        <w:keepNext w:val="0"/>
        <w:keepLines w:val="0"/>
        <w:pageBreakBefore w:val="0"/>
        <w:numPr>
          <w:ilvl w:val="0"/>
          <w:numId w:val="5"/>
        </w:numPr>
        <w:kinsoku/>
        <w:wordWrap/>
        <w:overflowPunct/>
        <w:topLinePunct w:val="0"/>
        <w:autoSpaceDE/>
        <w:autoSpaceDN/>
        <w:bidi w:val="0"/>
        <w:adjustRightInd/>
        <w:snapToGrid/>
        <w:spacing w:line="560" w:lineRule="exact"/>
        <w:ind w:firstLine="640" w:firstLineChars="200"/>
        <w:textAlignment w:val="auto"/>
        <w:rPr>
          <w:rFonts w:ascii="黑体" w:hAnsi="黑体" w:eastAsia="黑体"/>
          <w:color w:val="auto"/>
          <w:sz w:val="32"/>
          <w:szCs w:val="32"/>
        </w:rPr>
      </w:pPr>
      <w:r>
        <w:rPr>
          <w:rFonts w:hint="eastAsia" w:ascii="黑体" w:hAnsi="黑体" w:eastAsia="黑体"/>
          <w:color w:val="auto"/>
          <w:sz w:val="32"/>
          <w:szCs w:val="32"/>
        </w:rPr>
        <w:t>有关建议</w:t>
      </w:r>
    </w:p>
    <w:p>
      <w:pPr>
        <w:pStyle w:val="19"/>
        <w:keepNext w:val="0"/>
        <w:keepLines w:val="0"/>
        <w:pageBreakBefore w:val="0"/>
        <w:kinsoku/>
        <w:wordWrap/>
        <w:overflowPunct/>
        <w:topLinePunct w:val="0"/>
        <w:autoSpaceDE/>
        <w:autoSpaceDN/>
        <w:bidi w:val="0"/>
        <w:adjustRightInd/>
        <w:snapToGrid/>
        <w:spacing w:before="0" w:after="0" w:line="560" w:lineRule="exact"/>
        <w:ind w:left="420"/>
        <w:textAlignment w:val="auto"/>
        <w:rPr>
          <w:rFonts w:ascii="仿宋_GB2312" w:eastAsia="仿宋_GB2312"/>
          <w:b w:val="0"/>
          <w:snapToGrid/>
          <w:color w:val="auto"/>
          <w:kern w:val="2"/>
          <w:sz w:val="32"/>
          <w:szCs w:val="32"/>
        </w:rPr>
      </w:pPr>
      <w:r>
        <w:rPr>
          <w:rFonts w:hint="eastAsia" w:ascii="仿宋_GB2312" w:eastAsia="仿宋_GB2312"/>
          <w:b w:val="0"/>
          <w:snapToGrid/>
          <w:color w:val="auto"/>
          <w:kern w:val="2"/>
          <w:sz w:val="32"/>
          <w:szCs w:val="32"/>
        </w:rPr>
        <w:t>1. 预算安排和执行方面建议</w:t>
      </w:r>
    </w:p>
    <w:p>
      <w:pPr>
        <w:pStyle w:val="20"/>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eastAsia="仿宋_GB2312"/>
          <w:color w:val="auto"/>
          <w:kern w:val="2"/>
          <w:sz w:val="32"/>
          <w:szCs w:val="32"/>
        </w:rPr>
      </w:pPr>
      <w:r>
        <w:rPr>
          <w:rFonts w:hint="eastAsia" w:ascii="仿宋_GB2312" w:eastAsia="仿宋_GB2312"/>
          <w:color w:val="auto"/>
          <w:kern w:val="2"/>
          <w:sz w:val="32"/>
          <w:szCs w:val="32"/>
        </w:rPr>
        <w:t>严格按照预算管理规定进行立项确认。区政协办公室负责预算的编制、执行和上报等工作。在项目预算编制过程中, 严格按照财政部门的相关要求坚持对项目先进行论证,结合论证情况编制预算, 在预算安排中重点刚性支出,最后由财政部门结合我区财力情况进行预算安排。</w:t>
      </w:r>
    </w:p>
    <w:p>
      <w:pPr>
        <w:pStyle w:val="19"/>
        <w:keepNext w:val="0"/>
        <w:keepLines w:val="0"/>
        <w:pageBreakBefore w:val="0"/>
        <w:kinsoku/>
        <w:wordWrap/>
        <w:overflowPunct/>
        <w:topLinePunct w:val="0"/>
        <w:autoSpaceDE/>
        <w:autoSpaceDN/>
        <w:bidi w:val="0"/>
        <w:adjustRightInd/>
        <w:snapToGrid/>
        <w:spacing w:before="0" w:after="0" w:line="560" w:lineRule="exact"/>
        <w:ind w:left="420"/>
        <w:textAlignment w:val="auto"/>
        <w:rPr>
          <w:rFonts w:ascii="仿宋_GB2312" w:eastAsia="仿宋_GB2312"/>
          <w:b w:val="0"/>
          <w:snapToGrid/>
          <w:color w:val="auto"/>
          <w:kern w:val="2"/>
          <w:sz w:val="32"/>
          <w:szCs w:val="32"/>
        </w:rPr>
      </w:pPr>
      <w:r>
        <w:rPr>
          <w:rFonts w:hint="eastAsia" w:ascii="仿宋_GB2312" w:eastAsia="仿宋_GB2312"/>
          <w:b w:val="0"/>
          <w:snapToGrid/>
          <w:color w:val="auto"/>
          <w:kern w:val="2"/>
          <w:sz w:val="32"/>
          <w:szCs w:val="32"/>
        </w:rPr>
        <w:t>2. 制度建设方面建议</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Times New Roman" w:eastAsia="仿宋_GB2312"/>
          <w:color w:val="auto"/>
          <w:sz w:val="32"/>
          <w:szCs w:val="32"/>
        </w:rPr>
      </w:pPr>
      <w:r>
        <w:rPr>
          <w:rFonts w:hint="eastAsia" w:ascii="仿宋_GB2312" w:hAnsi="Times New Roman" w:eastAsia="仿宋_GB2312"/>
          <w:color w:val="auto"/>
          <w:sz w:val="32"/>
          <w:szCs w:val="32"/>
        </w:rPr>
        <w:t>完善绩效评价反馈制度。建立绩效评价评估体系，对项目绩效的成效结果进行全方位总结。加强绩效管理工作培训指导力度。采取集中学习、邀请专家讲解等方式，加大财务人员和各单位干部的培训力度，提高绩效水平。</w:t>
      </w:r>
    </w:p>
    <w:p>
      <w:pPr>
        <w:pStyle w:val="20"/>
        <w:keepNext w:val="0"/>
        <w:keepLines w:val="0"/>
        <w:pageBreakBefore w:val="0"/>
        <w:kinsoku/>
        <w:wordWrap/>
        <w:overflowPunct/>
        <w:topLinePunct w:val="0"/>
        <w:autoSpaceDE/>
        <w:autoSpaceDN/>
        <w:bidi w:val="0"/>
        <w:adjustRightInd/>
        <w:snapToGrid/>
        <w:spacing w:line="560" w:lineRule="exact"/>
        <w:ind w:firstLine="643"/>
        <w:textAlignment w:val="auto"/>
        <w:rPr>
          <w:rFonts w:ascii="仿宋_GB2312" w:eastAsia="仿宋_GB2312"/>
          <w:color w:val="auto"/>
          <w:kern w:val="2"/>
          <w:sz w:val="32"/>
          <w:szCs w:val="32"/>
        </w:rPr>
      </w:pPr>
      <w:r>
        <w:rPr>
          <w:rFonts w:hint="eastAsia" w:ascii="仿宋_GB2312" w:eastAsia="仿宋_GB2312"/>
          <w:color w:val="auto"/>
          <w:kern w:val="2"/>
          <w:sz w:val="32"/>
          <w:szCs w:val="32"/>
        </w:rPr>
        <w:t>3. 项目管理方面建议</w:t>
      </w:r>
    </w:p>
    <w:p>
      <w:pPr>
        <w:pStyle w:val="20"/>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eastAsia="仿宋_GB2312"/>
          <w:color w:val="auto"/>
          <w:kern w:val="2"/>
          <w:sz w:val="32"/>
          <w:szCs w:val="32"/>
        </w:rPr>
      </w:pPr>
      <w:r>
        <w:rPr>
          <w:rFonts w:hint="eastAsia" w:ascii="仿宋_GB2312" w:eastAsia="仿宋_GB2312"/>
          <w:color w:val="auto"/>
          <w:kern w:val="2"/>
          <w:sz w:val="32"/>
          <w:szCs w:val="32"/>
        </w:rPr>
        <w:t>建议及时调整和优化本单位后续项目和以后年度预算支出的方向和结构，合理配置资源，加强财务管理，完善项目管理办法，切实提高项目管理水平、资金使用效率和部门工作效率。要认真落实整改意见，不断提高预算管理水平。</w:t>
      </w:r>
    </w:p>
    <w:p>
      <w:pPr>
        <w:pStyle w:val="19"/>
        <w:keepNext w:val="0"/>
        <w:keepLines w:val="0"/>
        <w:pageBreakBefore w:val="0"/>
        <w:kinsoku/>
        <w:wordWrap/>
        <w:overflowPunct/>
        <w:topLinePunct w:val="0"/>
        <w:autoSpaceDE/>
        <w:autoSpaceDN/>
        <w:bidi w:val="0"/>
        <w:adjustRightInd/>
        <w:snapToGrid/>
        <w:spacing w:before="0" w:after="0" w:line="560" w:lineRule="exact"/>
        <w:ind w:left="420"/>
        <w:textAlignment w:val="auto"/>
        <w:rPr>
          <w:rFonts w:ascii="仿宋_GB2312" w:eastAsia="仿宋_GB2312"/>
          <w:b w:val="0"/>
          <w:snapToGrid/>
          <w:color w:val="auto"/>
          <w:kern w:val="2"/>
          <w:sz w:val="32"/>
          <w:szCs w:val="32"/>
        </w:rPr>
      </w:pPr>
      <w:r>
        <w:rPr>
          <w:rFonts w:hint="eastAsia" w:ascii="仿宋_GB2312" w:eastAsia="仿宋_GB2312"/>
          <w:b w:val="0"/>
          <w:snapToGrid/>
          <w:color w:val="auto"/>
          <w:kern w:val="2"/>
          <w:sz w:val="32"/>
          <w:szCs w:val="32"/>
        </w:rPr>
        <w:t>4. 资金管理方面建议</w:t>
      </w:r>
    </w:p>
    <w:p>
      <w:pPr>
        <w:pStyle w:val="20"/>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eastAsia="仿宋_GB2312"/>
          <w:color w:val="auto"/>
          <w:kern w:val="2"/>
          <w:sz w:val="32"/>
          <w:szCs w:val="32"/>
        </w:rPr>
      </w:pPr>
      <w:r>
        <w:rPr>
          <w:rFonts w:hint="eastAsia" w:ascii="仿宋_GB2312" w:eastAsia="仿宋_GB2312"/>
          <w:color w:val="auto"/>
          <w:kern w:val="2"/>
          <w:sz w:val="32"/>
          <w:szCs w:val="32"/>
        </w:rPr>
        <w:t>严格执行财政部门下发的经费管理要求进行开支和管理，按照年初部门详细填列预算开支项目，严格遵守节约制度，落实地方财政预算管理、采购管理、财务管理等相关管理制度。</w:t>
      </w:r>
    </w:p>
    <w:p>
      <w:pPr>
        <w:pStyle w:val="19"/>
        <w:keepNext w:val="0"/>
        <w:keepLines w:val="0"/>
        <w:pageBreakBefore w:val="0"/>
        <w:kinsoku/>
        <w:wordWrap/>
        <w:overflowPunct/>
        <w:topLinePunct w:val="0"/>
        <w:autoSpaceDE/>
        <w:autoSpaceDN/>
        <w:bidi w:val="0"/>
        <w:adjustRightInd/>
        <w:snapToGrid/>
        <w:spacing w:before="0" w:after="0" w:line="560" w:lineRule="exact"/>
        <w:ind w:left="420"/>
        <w:textAlignment w:val="auto"/>
        <w:rPr>
          <w:rFonts w:ascii="仿宋_GB2312" w:eastAsia="仿宋_GB2312"/>
          <w:b w:val="0"/>
          <w:snapToGrid/>
          <w:color w:val="auto"/>
          <w:kern w:val="2"/>
          <w:sz w:val="32"/>
          <w:szCs w:val="32"/>
        </w:rPr>
      </w:pPr>
      <w:r>
        <w:rPr>
          <w:rFonts w:hint="eastAsia" w:ascii="仿宋_GB2312" w:eastAsia="仿宋_GB2312"/>
          <w:b w:val="0"/>
          <w:snapToGrid/>
          <w:color w:val="auto"/>
          <w:kern w:val="2"/>
          <w:sz w:val="32"/>
          <w:szCs w:val="32"/>
        </w:rPr>
        <w:t>5. 其他方面建议</w:t>
      </w:r>
    </w:p>
    <w:p>
      <w:pPr>
        <w:pStyle w:val="20"/>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eastAsia="仿宋_GB2312"/>
          <w:color w:val="auto"/>
          <w:kern w:val="2"/>
          <w:sz w:val="32"/>
          <w:szCs w:val="32"/>
        </w:rPr>
      </w:pPr>
      <w:r>
        <w:rPr>
          <w:rFonts w:hint="eastAsia" w:ascii="仿宋_GB2312" w:eastAsia="仿宋_GB2312"/>
          <w:color w:val="auto"/>
          <w:kern w:val="2"/>
          <w:sz w:val="32"/>
          <w:szCs w:val="32"/>
        </w:rPr>
        <w:t>加强绩效评价力度。加强对项目的绩效评价，保障财政资金更合理的应用到实处，希望区财政局加强绩效评价培训及指导。</w:t>
      </w:r>
    </w:p>
    <w:p>
      <w:pPr>
        <w:keepNext w:val="0"/>
        <w:keepLines w:val="0"/>
        <w:pageBreakBefore w:val="0"/>
        <w:numPr>
          <w:ilvl w:val="0"/>
          <w:numId w:val="5"/>
        </w:numPr>
        <w:kinsoku/>
        <w:wordWrap/>
        <w:overflowPunct/>
        <w:topLinePunct w:val="0"/>
        <w:autoSpaceDE/>
        <w:autoSpaceDN/>
        <w:bidi w:val="0"/>
        <w:adjustRightInd/>
        <w:snapToGrid/>
        <w:spacing w:line="560" w:lineRule="exact"/>
        <w:ind w:firstLine="640" w:firstLineChars="200"/>
        <w:textAlignment w:val="auto"/>
        <w:rPr>
          <w:rFonts w:ascii="黑体" w:hAnsi="黑体" w:eastAsia="黑体"/>
          <w:color w:val="auto"/>
          <w:sz w:val="32"/>
          <w:szCs w:val="32"/>
        </w:rPr>
      </w:pPr>
      <w:r>
        <w:rPr>
          <w:rFonts w:hint="eastAsia" w:ascii="黑体" w:hAnsi="黑体" w:eastAsia="黑体"/>
          <w:color w:val="auto"/>
          <w:sz w:val="32"/>
          <w:szCs w:val="32"/>
        </w:rPr>
        <w:t>其他需要说明的问题</w:t>
      </w:r>
    </w:p>
    <w:p>
      <w:pPr>
        <w:keepNext w:val="0"/>
        <w:keepLines w:val="0"/>
        <w:pageBreakBefore w:val="0"/>
        <w:kinsoku/>
        <w:wordWrap/>
        <w:overflowPunct/>
        <w:topLinePunct w:val="0"/>
        <w:autoSpaceDE/>
        <w:autoSpaceDN/>
        <w:bidi w:val="0"/>
        <w:adjustRightInd/>
        <w:snapToGrid/>
        <w:spacing w:line="560" w:lineRule="exact"/>
        <w:textAlignment w:val="auto"/>
        <w:rPr>
          <w:rFonts w:ascii="仿宋_GB2312" w:hAnsi="Times New Roman" w:eastAsia="仿宋_GB2312"/>
          <w:color w:val="auto"/>
          <w:sz w:val="30"/>
          <w:szCs w:val="24"/>
        </w:rPr>
      </w:pPr>
      <w:r>
        <w:rPr>
          <w:rFonts w:hint="eastAsia" w:ascii="仿宋_GB2312" w:hAnsi="Times New Roman" w:eastAsia="仿宋_GB2312"/>
          <w:color w:val="auto"/>
          <w:sz w:val="32"/>
          <w:szCs w:val="32"/>
        </w:rPr>
        <w:t xml:space="preserve">     无</w:t>
      </w:r>
    </w:p>
    <w:p>
      <w:pPr>
        <w:spacing w:line="500" w:lineRule="exact"/>
        <w:rPr>
          <w:rFonts w:ascii="仿宋_GB2312" w:hAnsi="Times New Roman" w:eastAsia="仿宋_GB2312"/>
          <w:color w:val="auto"/>
          <w:sz w:val="30"/>
          <w:szCs w:val="24"/>
        </w:rPr>
      </w:pPr>
      <w:r>
        <w:rPr>
          <w:rFonts w:hint="eastAsia" w:ascii="仿宋_GB2312" w:hAnsi="Times New Roman" w:eastAsia="仿宋_GB2312"/>
          <w:color w:val="auto"/>
          <w:sz w:val="30"/>
          <w:szCs w:val="24"/>
        </w:rPr>
        <w:t>附件1</w:t>
      </w:r>
    </w:p>
    <w:p>
      <w:pPr>
        <w:spacing w:line="500" w:lineRule="exact"/>
        <w:ind w:left="420" w:leftChars="200" w:firstLine="2240" w:firstLineChars="700"/>
        <w:rPr>
          <w:rFonts w:ascii="仿宋_GB2312" w:hAnsi="Times New Roman" w:eastAsia="仿宋_GB2312"/>
          <w:color w:val="auto"/>
          <w:sz w:val="30"/>
          <w:szCs w:val="24"/>
        </w:rPr>
      </w:pPr>
      <w:r>
        <w:rPr>
          <w:color w:val="auto"/>
          <w:sz w:val="32"/>
          <w:szCs w:val="32"/>
        </w:rPr>
        <w:t>绩效评价指标体系</w:t>
      </w:r>
    </w:p>
    <w:tbl>
      <w:tblPr>
        <w:tblStyle w:val="7"/>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0" w:lineRule="atLeast"/>
              <w:jc w:val="center"/>
              <w:rPr>
                <w:rFonts w:ascii="宋体" w:hAnsi="宋体" w:cs="宋体"/>
                <w:b/>
                <w:bCs/>
                <w:color w:val="auto"/>
                <w:kern w:val="0"/>
                <w:sz w:val="22"/>
              </w:rPr>
            </w:pPr>
            <w:r>
              <w:rPr>
                <w:rFonts w:hint="eastAsia" w:ascii="宋体" w:hAnsi="宋体" w:cs="宋体"/>
                <w:b/>
                <w:bCs/>
                <w:color w:val="auto"/>
                <w:kern w:val="0"/>
                <w:sz w:val="22"/>
              </w:rPr>
              <w:t>一级指标</w:t>
            </w:r>
          </w:p>
        </w:tc>
        <w:tc>
          <w:tcPr>
            <w:tcW w:w="1478" w:type="dxa"/>
            <w:shd w:val="clear" w:color="auto" w:fill="FFFFFF"/>
            <w:vAlign w:val="center"/>
          </w:tcPr>
          <w:p>
            <w:pPr>
              <w:widowControl/>
              <w:spacing w:line="0" w:lineRule="atLeast"/>
              <w:jc w:val="center"/>
              <w:rPr>
                <w:rFonts w:ascii="宋体" w:hAnsi="宋体" w:cs="宋体"/>
                <w:b/>
                <w:bCs/>
                <w:color w:val="auto"/>
                <w:kern w:val="0"/>
                <w:sz w:val="22"/>
              </w:rPr>
            </w:pPr>
            <w:r>
              <w:rPr>
                <w:rFonts w:hint="eastAsia" w:ascii="宋体" w:hAnsi="宋体" w:cs="宋体"/>
                <w:b/>
                <w:bCs/>
                <w:color w:val="auto"/>
                <w:kern w:val="0"/>
                <w:sz w:val="22"/>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b/>
                <w:bCs/>
                <w:color w:val="auto"/>
                <w:kern w:val="0"/>
                <w:sz w:val="22"/>
              </w:rPr>
            </w:pPr>
            <w:r>
              <w:rPr>
                <w:rFonts w:hint="eastAsia" w:ascii="宋体" w:hAnsi="宋体" w:cs="宋体"/>
                <w:b/>
                <w:bCs/>
                <w:color w:val="auto"/>
                <w:kern w:val="0"/>
                <w:sz w:val="22"/>
              </w:rPr>
              <w:t>三级指标</w:t>
            </w:r>
          </w:p>
        </w:tc>
        <w:tc>
          <w:tcPr>
            <w:tcW w:w="3885" w:type="dxa"/>
            <w:tcBorders>
              <w:right w:val="single" w:color="auto" w:sz="4" w:space="0"/>
            </w:tcBorders>
            <w:shd w:val="clear" w:color="auto" w:fill="FFFFFF"/>
          </w:tcPr>
          <w:p>
            <w:pPr>
              <w:widowControl/>
              <w:spacing w:line="600" w:lineRule="auto"/>
              <w:jc w:val="center"/>
              <w:rPr>
                <w:rFonts w:ascii="宋体" w:hAnsi="宋体" w:cs="宋体"/>
                <w:b/>
                <w:bCs/>
                <w:color w:val="auto"/>
                <w:kern w:val="0"/>
                <w:sz w:val="22"/>
              </w:rPr>
            </w:pPr>
            <w:r>
              <w:rPr>
                <w:rFonts w:hint="eastAsia" w:ascii="宋体" w:hAnsi="宋体" w:cs="宋体"/>
                <w:b/>
                <w:bCs/>
                <w:color w:val="auto"/>
                <w:kern w:val="0"/>
                <w:sz w:val="22"/>
              </w:rPr>
              <w:t>指标解释</w:t>
            </w:r>
          </w:p>
        </w:tc>
        <w:tc>
          <w:tcPr>
            <w:tcW w:w="990" w:type="dxa"/>
            <w:tcBorders>
              <w:left w:val="single" w:color="auto" w:sz="4" w:space="0"/>
            </w:tcBorders>
            <w:shd w:val="clear" w:color="auto" w:fill="FFFFFF"/>
          </w:tcPr>
          <w:p>
            <w:pPr>
              <w:widowControl/>
              <w:spacing w:line="600" w:lineRule="auto"/>
              <w:jc w:val="center"/>
              <w:rPr>
                <w:rFonts w:ascii="宋体" w:hAnsi="宋体" w:cs="宋体"/>
                <w:b/>
                <w:bCs/>
                <w:color w:val="auto"/>
                <w:kern w:val="0"/>
                <w:sz w:val="22"/>
              </w:rPr>
            </w:pPr>
            <w:r>
              <w:rPr>
                <w:rFonts w:hint="eastAsia" w:ascii="宋体" w:hAnsi="宋体" w:cs="宋体"/>
                <w:b/>
                <w:bCs/>
                <w:color w:val="auto"/>
                <w:kern w:val="0"/>
                <w:sz w:val="22"/>
              </w:rPr>
              <w:t>分值</w:t>
            </w:r>
          </w:p>
        </w:tc>
        <w:tc>
          <w:tcPr>
            <w:tcW w:w="874" w:type="dxa"/>
            <w:shd w:val="clear" w:color="auto" w:fill="FFFFFF"/>
          </w:tcPr>
          <w:p>
            <w:pPr>
              <w:widowControl/>
              <w:spacing w:line="600" w:lineRule="auto"/>
              <w:jc w:val="center"/>
              <w:rPr>
                <w:rFonts w:ascii="宋体" w:hAnsi="宋体" w:cs="宋体"/>
                <w:b/>
                <w:bCs/>
                <w:color w:val="auto"/>
                <w:kern w:val="0"/>
                <w:sz w:val="22"/>
              </w:rPr>
            </w:pPr>
            <w:r>
              <w:rPr>
                <w:rFonts w:hint="eastAsia" w:ascii="宋体" w:hAnsi="宋体" w:cs="宋体"/>
                <w:b/>
                <w:bCs/>
                <w:color w:val="auto"/>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决策</w:t>
            </w:r>
          </w:p>
        </w:tc>
        <w:tc>
          <w:tcPr>
            <w:tcW w:w="1478" w:type="dxa"/>
            <w:vMerge w:val="restart"/>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立项依据</w:t>
            </w:r>
          </w:p>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充分性</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tcPr>
          <w:p>
            <w:pPr>
              <w:spacing w:line="600" w:lineRule="auto"/>
              <w:jc w:val="center"/>
              <w:rPr>
                <w:color w:val="auto"/>
              </w:rPr>
            </w:pPr>
            <w:r>
              <w:rPr>
                <w:color w:val="auto"/>
              </w:rPr>
              <w:t>4</w:t>
            </w:r>
          </w:p>
        </w:tc>
        <w:tc>
          <w:tcPr>
            <w:tcW w:w="874" w:type="dxa"/>
            <w:tcBorders>
              <w:bottom w:val="single" w:color="auto" w:sz="4" w:space="0"/>
            </w:tcBorders>
            <w:shd w:val="clear" w:color="auto" w:fill="FFFFFF"/>
          </w:tcPr>
          <w:p>
            <w:pPr>
              <w:spacing w:line="600" w:lineRule="auto"/>
              <w:jc w:val="center"/>
              <w:rPr>
                <w:color w:val="auto"/>
              </w:rPr>
            </w:pPr>
            <w:r>
              <w:rPr>
                <w:rFonts w:hint="eastAsia"/>
                <w:color w:val="auto"/>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立项程序</w:t>
            </w:r>
          </w:p>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规范性</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项目申请、设立过程是否符合相关要求，用以反映和考核项目立项的规范情况</w:t>
            </w:r>
          </w:p>
        </w:tc>
        <w:tc>
          <w:tcPr>
            <w:tcW w:w="990" w:type="dxa"/>
            <w:tcBorders>
              <w:left w:val="single" w:color="auto" w:sz="4" w:space="0"/>
            </w:tcBorders>
            <w:shd w:val="clear" w:color="auto" w:fill="FFFFFF"/>
          </w:tcPr>
          <w:p>
            <w:pPr>
              <w:spacing w:line="600" w:lineRule="auto"/>
              <w:jc w:val="center"/>
              <w:rPr>
                <w:color w:val="auto"/>
              </w:rPr>
            </w:pPr>
            <w:r>
              <w:rPr>
                <w:color w:val="auto"/>
              </w:rPr>
              <w:t>3</w:t>
            </w:r>
          </w:p>
        </w:tc>
        <w:tc>
          <w:tcPr>
            <w:tcW w:w="874" w:type="dxa"/>
            <w:shd w:val="clear" w:color="auto" w:fill="FFFFFF"/>
          </w:tcPr>
          <w:p>
            <w:pPr>
              <w:spacing w:line="600" w:lineRule="auto"/>
              <w:jc w:val="center"/>
              <w:rPr>
                <w:color w:val="auto"/>
              </w:rPr>
            </w:pPr>
            <w:r>
              <w:rPr>
                <w:rFonts w:hint="eastAsia"/>
                <w:color w:val="auto"/>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绩效目标</w:t>
            </w:r>
          </w:p>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合理性</w:t>
            </w:r>
          </w:p>
        </w:tc>
        <w:tc>
          <w:tcPr>
            <w:tcW w:w="3885" w:type="dxa"/>
            <w:tcBorders>
              <w:right w:val="single" w:color="auto" w:sz="4" w:space="0"/>
            </w:tcBorders>
            <w:shd w:val="clear" w:color="000000" w:fill="FFFFFF"/>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tcPr>
          <w:p>
            <w:pPr>
              <w:spacing w:line="600" w:lineRule="auto"/>
              <w:jc w:val="center"/>
              <w:rPr>
                <w:color w:val="auto"/>
              </w:rPr>
            </w:pPr>
            <w:r>
              <w:rPr>
                <w:color w:val="auto"/>
              </w:rPr>
              <w:t>5</w:t>
            </w:r>
          </w:p>
        </w:tc>
        <w:tc>
          <w:tcPr>
            <w:tcW w:w="874" w:type="dxa"/>
            <w:shd w:val="clear" w:color="000000" w:fill="FFFFFF"/>
          </w:tcPr>
          <w:p>
            <w:pPr>
              <w:spacing w:line="600" w:lineRule="auto"/>
              <w:jc w:val="center"/>
              <w:rPr>
                <w:color w:val="auto"/>
              </w:rPr>
            </w:pPr>
            <w:r>
              <w:rPr>
                <w:color w:val="auto"/>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绩效指标</w:t>
            </w:r>
          </w:p>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明确性</w:t>
            </w:r>
          </w:p>
        </w:tc>
        <w:tc>
          <w:tcPr>
            <w:tcW w:w="3885" w:type="dxa"/>
            <w:tcBorders>
              <w:right w:val="single" w:color="auto" w:sz="4" w:space="0"/>
            </w:tcBorders>
            <w:shd w:val="clear" w:color="000000" w:fill="FFFFFF"/>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tcPr>
          <w:p>
            <w:pPr>
              <w:spacing w:line="600" w:lineRule="auto"/>
              <w:jc w:val="center"/>
              <w:rPr>
                <w:color w:val="auto"/>
              </w:rPr>
            </w:pPr>
            <w:r>
              <w:rPr>
                <w:color w:val="auto"/>
              </w:rPr>
              <w:t>3</w:t>
            </w:r>
          </w:p>
        </w:tc>
        <w:tc>
          <w:tcPr>
            <w:tcW w:w="874" w:type="dxa"/>
            <w:tcBorders>
              <w:bottom w:val="single" w:color="auto" w:sz="4" w:space="0"/>
            </w:tcBorders>
            <w:shd w:val="clear" w:color="000000" w:fill="FFFFFF"/>
          </w:tcPr>
          <w:p>
            <w:pPr>
              <w:spacing w:line="600" w:lineRule="auto"/>
              <w:jc w:val="center"/>
              <w:rPr>
                <w:color w:val="auto"/>
              </w:rPr>
            </w:pPr>
            <w:r>
              <w:rPr>
                <w:color w:val="auto"/>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资金投入</w:t>
            </w:r>
          </w:p>
          <w:p>
            <w:pPr>
              <w:spacing w:line="0" w:lineRule="atLeast"/>
              <w:jc w:val="center"/>
              <w:rPr>
                <w:rFonts w:ascii="宋体" w:hAnsi="宋体" w:cs="宋体"/>
                <w:color w:val="auto"/>
                <w:kern w:val="0"/>
                <w:sz w:val="22"/>
              </w:rPr>
            </w:pPr>
            <w:r>
              <w:rPr>
                <w:rFonts w:hint="eastAsia" w:ascii="宋体" w:hAnsi="宋体" w:cs="宋体"/>
                <w:color w:val="auto"/>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预算编制</w:t>
            </w:r>
          </w:p>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科学性</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tcPr>
          <w:p>
            <w:pPr>
              <w:spacing w:line="600" w:lineRule="auto"/>
              <w:jc w:val="center"/>
              <w:rPr>
                <w:color w:val="auto"/>
              </w:rPr>
            </w:pPr>
            <w:r>
              <w:rPr>
                <w:color w:val="auto"/>
              </w:rPr>
              <w:t>4</w:t>
            </w:r>
          </w:p>
        </w:tc>
        <w:tc>
          <w:tcPr>
            <w:tcW w:w="874" w:type="dxa"/>
            <w:tcBorders>
              <w:bottom w:val="single" w:color="auto" w:sz="4" w:space="0"/>
            </w:tcBorders>
            <w:shd w:val="clear" w:color="auto" w:fill="FFFFFF"/>
          </w:tcPr>
          <w:p>
            <w:pPr>
              <w:spacing w:line="600" w:lineRule="auto"/>
              <w:jc w:val="center"/>
              <w:rPr>
                <w:color w:val="auto"/>
              </w:rPr>
            </w:pPr>
            <w:r>
              <w:rPr>
                <w:color w:val="auto"/>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资金分配</w:t>
            </w:r>
          </w:p>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合理性</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tcPr>
          <w:p>
            <w:pPr>
              <w:spacing w:line="600" w:lineRule="auto"/>
              <w:jc w:val="center"/>
              <w:rPr>
                <w:color w:val="auto"/>
              </w:rPr>
            </w:pPr>
            <w:r>
              <w:rPr>
                <w:color w:val="auto"/>
              </w:rPr>
              <w:t>4</w:t>
            </w:r>
          </w:p>
        </w:tc>
        <w:tc>
          <w:tcPr>
            <w:tcW w:w="874" w:type="dxa"/>
            <w:shd w:val="clear" w:color="auto" w:fill="FFFFFF"/>
          </w:tcPr>
          <w:p>
            <w:pPr>
              <w:spacing w:line="600" w:lineRule="auto"/>
              <w:jc w:val="center"/>
              <w:rPr>
                <w:color w:val="auto"/>
              </w:rPr>
            </w:pPr>
            <w:r>
              <w:rPr>
                <w:color w:val="auto"/>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color w:val="auto"/>
                <w:kern w:val="0"/>
                <w:sz w:val="22"/>
              </w:rPr>
            </w:pPr>
            <w:r>
              <w:rPr>
                <w:rFonts w:hint="eastAsia" w:ascii="宋体" w:hAnsi="宋体" w:cs="宋体"/>
                <w:color w:val="auto"/>
                <w:kern w:val="0"/>
                <w:sz w:val="22"/>
              </w:rPr>
              <w:t>过程</w:t>
            </w:r>
          </w:p>
        </w:tc>
        <w:tc>
          <w:tcPr>
            <w:tcW w:w="1478" w:type="dxa"/>
            <w:vMerge w:val="restart"/>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资金到位率</w:t>
            </w:r>
          </w:p>
        </w:tc>
        <w:tc>
          <w:tcPr>
            <w:tcW w:w="3885" w:type="dxa"/>
            <w:tcBorders>
              <w:right w:val="single" w:color="auto" w:sz="4" w:space="0"/>
            </w:tcBorders>
            <w:shd w:val="clear" w:color="000000" w:fill="FFFFFF"/>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tcPr>
          <w:p>
            <w:pPr>
              <w:spacing w:line="600" w:lineRule="auto"/>
              <w:jc w:val="center"/>
              <w:rPr>
                <w:color w:val="auto"/>
              </w:rPr>
            </w:pPr>
            <w:r>
              <w:rPr>
                <w:color w:val="auto"/>
              </w:rPr>
              <w:t>4</w:t>
            </w:r>
          </w:p>
        </w:tc>
        <w:tc>
          <w:tcPr>
            <w:tcW w:w="874" w:type="dxa"/>
            <w:tcBorders>
              <w:bottom w:val="single" w:color="auto" w:sz="4" w:space="0"/>
            </w:tcBorders>
            <w:shd w:val="clear" w:color="000000" w:fill="FFFFFF"/>
          </w:tcPr>
          <w:p>
            <w:pPr>
              <w:spacing w:line="600" w:lineRule="auto"/>
              <w:jc w:val="center"/>
              <w:rPr>
                <w:color w:val="auto"/>
              </w:rPr>
            </w:pPr>
            <w:r>
              <w:rPr>
                <w:color w:val="auto"/>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2"/>
              </w:rPr>
            </w:pPr>
          </w:p>
        </w:tc>
        <w:tc>
          <w:tcPr>
            <w:tcW w:w="1478" w:type="dxa"/>
            <w:vMerge w:val="continue"/>
            <w:shd w:val="clear" w:color="auto" w:fill="FFFFFF"/>
            <w:vAlign w:val="center"/>
          </w:tcPr>
          <w:p>
            <w:pPr>
              <w:spacing w:line="0" w:lineRule="atLeast"/>
              <w:jc w:val="center"/>
              <w:rPr>
                <w:rFonts w:ascii="宋体" w:hAnsi="宋体" w:cs="宋体"/>
                <w:color w:val="auto"/>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预算执行率</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项目预算资金是否按照计划执行，用以反映或考核项目预算执行情况</w:t>
            </w:r>
          </w:p>
        </w:tc>
        <w:tc>
          <w:tcPr>
            <w:tcW w:w="990" w:type="dxa"/>
            <w:tcBorders>
              <w:left w:val="single" w:color="auto" w:sz="4" w:space="0"/>
            </w:tcBorders>
            <w:shd w:val="clear" w:color="auto" w:fill="FFFFFF"/>
          </w:tcPr>
          <w:p>
            <w:pPr>
              <w:spacing w:line="600" w:lineRule="auto"/>
              <w:jc w:val="center"/>
              <w:rPr>
                <w:color w:val="auto"/>
              </w:rPr>
            </w:pPr>
            <w:r>
              <w:rPr>
                <w:color w:val="auto"/>
              </w:rPr>
              <w:t>5</w:t>
            </w:r>
          </w:p>
        </w:tc>
        <w:tc>
          <w:tcPr>
            <w:tcW w:w="874" w:type="dxa"/>
            <w:tcBorders>
              <w:bottom w:val="single" w:color="auto" w:sz="4" w:space="0"/>
            </w:tcBorders>
            <w:shd w:val="clear" w:color="auto" w:fill="FFFFFF"/>
          </w:tcPr>
          <w:p>
            <w:pPr>
              <w:spacing w:line="600" w:lineRule="auto"/>
              <w:jc w:val="center"/>
              <w:rPr>
                <w:color w:val="auto"/>
              </w:rPr>
            </w:pPr>
            <w:r>
              <w:rPr>
                <w:color w:val="auto"/>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2"/>
              </w:rPr>
            </w:pPr>
          </w:p>
        </w:tc>
        <w:tc>
          <w:tcPr>
            <w:tcW w:w="1478" w:type="dxa"/>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资金使用</w:t>
            </w:r>
          </w:p>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合规性</w:t>
            </w:r>
          </w:p>
        </w:tc>
        <w:tc>
          <w:tcPr>
            <w:tcW w:w="3885" w:type="dxa"/>
            <w:tcBorders>
              <w:right w:val="single" w:color="auto" w:sz="4" w:space="0"/>
            </w:tcBorders>
            <w:shd w:val="clear" w:color="000000" w:fill="FFFFFF"/>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tcPr>
          <w:p>
            <w:pPr>
              <w:spacing w:line="600" w:lineRule="auto"/>
              <w:jc w:val="center"/>
              <w:rPr>
                <w:color w:val="auto"/>
              </w:rPr>
            </w:pPr>
            <w:r>
              <w:rPr>
                <w:color w:val="auto"/>
              </w:rPr>
              <w:t>3</w:t>
            </w:r>
          </w:p>
        </w:tc>
        <w:tc>
          <w:tcPr>
            <w:tcW w:w="874" w:type="dxa"/>
            <w:tcBorders>
              <w:bottom w:val="single" w:color="auto" w:sz="4" w:space="0"/>
            </w:tcBorders>
            <w:shd w:val="clear" w:color="000000" w:fill="FFFFFF"/>
          </w:tcPr>
          <w:p>
            <w:pPr>
              <w:spacing w:line="600" w:lineRule="auto"/>
              <w:jc w:val="center"/>
              <w:rPr>
                <w:color w:val="auto"/>
              </w:rPr>
            </w:pPr>
            <w:r>
              <w:rPr>
                <w:color w:val="auto"/>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组织实施</w:t>
            </w:r>
          </w:p>
          <w:p>
            <w:pPr>
              <w:spacing w:line="0" w:lineRule="atLeast"/>
              <w:jc w:val="center"/>
              <w:rPr>
                <w:rFonts w:ascii="宋体" w:hAnsi="宋体" w:cs="宋体"/>
                <w:color w:val="auto"/>
                <w:kern w:val="0"/>
                <w:sz w:val="22"/>
              </w:rPr>
            </w:pPr>
            <w:r>
              <w:rPr>
                <w:rFonts w:hint="eastAsia" w:ascii="宋体" w:hAnsi="宋体" w:cs="宋体"/>
                <w:color w:val="auto"/>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管理制度</w:t>
            </w:r>
          </w:p>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健全性</w:t>
            </w:r>
          </w:p>
        </w:tc>
        <w:tc>
          <w:tcPr>
            <w:tcW w:w="3885" w:type="dxa"/>
            <w:tcBorders>
              <w:right w:val="single" w:color="auto" w:sz="4" w:space="0"/>
            </w:tcBorders>
            <w:shd w:val="clear" w:color="000000" w:fill="FFFFFF"/>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tcPr>
          <w:p>
            <w:pPr>
              <w:spacing w:line="600" w:lineRule="auto"/>
              <w:jc w:val="center"/>
              <w:rPr>
                <w:color w:val="auto"/>
              </w:rPr>
            </w:pPr>
            <w:r>
              <w:rPr>
                <w:color w:val="auto"/>
              </w:rPr>
              <w:t>3</w:t>
            </w:r>
          </w:p>
        </w:tc>
        <w:tc>
          <w:tcPr>
            <w:tcW w:w="874" w:type="dxa"/>
            <w:tcBorders>
              <w:bottom w:val="single" w:color="auto" w:sz="4" w:space="0"/>
            </w:tcBorders>
            <w:shd w:val="clear" w:color="000000" w:fill="FFFFFF"/>
          </w:tcPr>
          <w:p>
            <w:pPr>
              <w:spacing w:line="600" w:lineRule="auto"/>
              <w:jc w:val="center"/>
              <w:rPr>
                <w:color w:val="auto"/>
              </w:rPr>
            </w:pPr>
            <w:r>
              <w:rPr>
                <w:color w:val="auto"/>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制度执行</w:t>
            </w:r>
          </w:p>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有效性</w:t>
            </w:r>
          </w:p>
        </w:tc>
        <w:tc>
          <w:tcPr>
            <w:tcW w:w="3885" w:type="dxa"/>
            <w:tcBorders>
              <w:right w:val="single" w:color="auto" w:sz="4" w:space="0"/>
            </w:tcBorders>
            <w:shd w:val="clear" w:color="000000" w:fill="FFFFFF"/>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tcPr>
          <w:p>
            <w:pPr>
              <w:spacing w:line="600" w:lineRule="auto"/>
              <w:jc w:val="center"/>
              <w:rPr>
                <w:color w:val="auto"/>
              </w:rPr>
            </w:pPr>
            <w:r>
              <w:rPr>
                <w:color w:val="auto"/>
              </w:rPr>
              <w:t>2</w:t>
            </w:r>
          </w:p>
        </w:tc>
        <w:tc>
          <w:tcPr>
            <w:tcW w:w="874" w:type="dxa"/>
            <w:tcBorders>
              <w:bottom w:val="single" w:color="auto" w:sz="4" w:space="0"/>
            </w:tcBorders>
            <w:shd w:val="clear" w:color="000000" w:fill="FFFFFF"/>
          </w:tcPr>
          <w:p>
            <w:pPr>
              <w:spacing w:line="600" w:lineRule="auto"/>
              <w:jc w:val="center"/>
              <w:rPr>
                <w:color w:val="auto"/>
              </w:rPr>
            </w:pPr>
            <w:r>
              <w:rPr>
                <w:color w:val="auto"/>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产出</w:t>
            </w:r>
          </w:p>
        </w:tc>
        <w:tc>
          <w:tcPr>
            <w:tcW w:w="1478" w:type="dxa"/>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实际完成率</w:t>
            </w:r>
          </w:p>
        </w:tc>
        <w:tc>
          <w:tcPr>
            <w:tcW w:w="3885" w:type="dxa"/>
            <w:tcBorders>
              <w:right w:val="single" w:color="auto" w:sz="4" w:space="0"/>
            </w:tcBorders>
            <w:shd w:val="clear" w:color="000000" w:fill="FFFFFF"/>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tcPr>
          <w:p>
            <w:pPr>
              <w:spacing w:line="600" w:lineRule="auto"/>
              <w:jc w:val="center"/>
              <w:rPr>
                <w:color w:val="auto"/>
              </w:rPr>
            </w:pPr>
            <w:r>
              <w:rPr>
                <w:color w:val="auto"/>
              </w:rPr>
              <w:t>8</w:t>
            </w:r>
          </w:p>
        </w:tc>
        <w:tc>
          <w:tcPr>
            <w:tcW w:w="874" w:type="dxa"/>
            <w:shd w:val="clear" w:color="000000" w:fill="FFFFFF"/>
          </w:tcPr>
          <w:p>
            <w:pPr>
              <w:spacing w:line="600" w:lineRule="auto"/>
              <w:jc w:val="center"/>
              <w:rPr>
                <w:color w:val="auto"/>
              </w:rPr>
            </w:pPr>
            <w:r>
              <w:rPr>
                <w:color w:val="auto"/>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478" w:type="dxa"/>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质量达标率</w:t>
            </w:r>
          </w:p>
        </w:tc>
        <w:tc>
          <w:tcPr>
            <w:tcW w:w="3885" w:type="dxa"/>
            <w:tcBorders>
              <w:right w:val="single" w:color="auto" w:sz="4" w:space="0"/>
            </w:tcBorders>
            <w:shd w:val="clear" w:color="000000" w:fill="FFFFFF"/>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tcPr>
          <w:p>
            <w:pPr>
              <w:spacing w:line="600" w:lineRule="auto"/>
              <w:jc w:val="center"/>
              <w:rPr>
                <w:color w:val="auto"/>
              </w:rPr>
            </w:pPr>
            <w:r>
              <w:rPr>
                <w:color w:val="auto"/>
              </w:rPr>
              <w:t>7</w:t>
            </w:r>
          </w:p>
        </w:tc>
        <w:tc>
          <w:tcPr>
            <w:tcW w:w="874" w:type="dxa"/>
            <w:shd w:val="clear" w:color="000000" w:fill="FFFFFF"/>
          </w:tcPr>
          <w:p>
            <w:pPr>
              <w:spacing w:line="600" w:lineRule="auto"/>
              <w:jc w:val="center"/>
              <w:rPr>
                <w:color w:val="auto"/>
              </w:rPr>
            </w:pPr>
            <w:r>
              <w:rPr>
                <w:color w:val="auto"/>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2"/>
              </w:rPr>
            </w:pPr>
          </w:p>
        </w:tc>
        <w:tc>
          <w:tcPr>
            <w:tcW w:w="1478" w:type="dxa"/>
            <w:shd w:val="clear" w:color="auto" w:fill="FFFFFF"/>
            <w:vAlign w:val="center"/>
          </w:tcPr>
          <w:p>
            <w:pPr>
              <w:spacing w:line="0" w:lineRule="atLeast"/>
              <w:jc w:val="center"/>
              <w:rPr>
                <w:rFonts w:ascii="宋体" w:hAnsi="宋体" w:cs="宋体"/>
                <w:color w:val="auto"/>
                <w:kern w:val="0"/>
                <w:sz w:val="22"/>
              </w:rPr>
            </w:pPr>
            <w:r>
              <w:rPr>
                <w:rFonts w:hint="eastAsia" w:ascii="宋体" w:hAnsi="宋体" w:cs="宋体"/>
                <w:color w:val="auto"/>
                <w:kern w:val="0"/>
                <w:sz w:val="22"/>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完成及时性</w:t>
            </w:r>
          </w:p>
        </w:tc>
        <w:tc>
          <w:tcPr>
            <w:tcW w:w="3885" w:type="dxa"/>
            <w:tcBorders>
              <w:right w:val="single" w:color="auto" w:sz="4" w:space="0"/>
            </w:tcBorders>
            <w:shd w:val="clear" w:color="000000" w:fill="FFFFFF"/>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tcPr>
          <w:p>
            <w:pPr>
              <w:spacing w:line="600" w:lineRule="auto"/>
              <w:jc w:val="center"/>
              <w:rPr>
                <w:color w:val="auto"/>
              </w:rPr>
            </w:pPr>
            <w:r>
              <w:rPr>
                <w:color w:val="auto"/>
              </w:rPr>
              <w:t>8</w:t>
            </w:r>
          </w:p>
        </w:tc>
        <w:tc>
          <w:tcPr>
            <w:tcW w:w="874" w:type="dxa"/>
            <w:shd w:val="clear" w:color="000000" w:fill="FFFFFF"/>
          </w:tcPr>
          <w:p>
            <w:pPr>
              <w:spacing w:line="600" w:lineRule="auto"/>
              <w:jc w:val="center"/>
              <w:rPr>
                <w:color w:val="auto"/>
              </w:rPr>
            </w:pPr>
            <w:r>
              <w:rPr>
                <w:color w:val="auto"/>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478" w:type="dxa"/>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产出成本</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成本节约率</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tcPr>
          <w:p>
            <w:pPr>
              <w:spacing w:line="600" w:lineRule="auto"/>
              <w:jc w:val="center"/>
              <w:rPr>
                <w:color w:val="auto"/>
              </w:rPr>
            </w:pPr>
            <w:r>
              <w:rPr>
                <w:color w:val="auto"/>
              </w:rPr>
              <w:t>7</w:t>
            </w:r>
          </w:p>
        </w:tc>
        <w:tc>
          <w:tcPr>
            <w:tcW w:w="874" w:type="dxa"/>
            <w:shd w:val="clear" w:color="auto" w:fill="FFFFFF"/>
          </w:tcPr>
          <w:p>
            <w:pPr>
              <w:spacing w:line="600" w:lineRule="auto"/>
              <w:jc w:val="center"/>
              <w:rPr>
                <w:color w:val="auto"/>
              </w:rPr>
            </w:pPr>
            <w:r>
              <w:rPr>
                <w:color w:val="auto"/>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效益　</w:t>
            </w:r>
          </w:p>
        </w:tc>
        <w:tc>
          <w:tcPr>
            <w:tcW w:w="1478" w:type="dxa"/>
            <w:vMerge w:val="restart"/>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实施效益</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项目实施所产生的效益。</w:t>
            </w:r>
          </w:p>
        </w:tc>
        <w:tc>
          <w:tcPr>
            <w:tcW w:w="990" w:type="dxa"/>
            <w:tcBorders>
              <w:left w:val="single" w:color="auto" w:sz="4" w:space="0"/>
            </w:tcBorders>
            <w:shd w:val="clear" w:color="auto" w:fill="FFFFFF"/>
          </w:tcPr>
          <w:p>
            <w:pPr>
              <w:spacing w:line="600" w:lineRule="auto"/>
              <w:jc w:val="center"/>
              <w:rPr>
                <w:color w:val="auto"/>
              </w:rPr>
            </w:pPr>
            <w:r>
              <w:rPr>
                <w:color w:val="auto"/>
              </w:rPr>
              <w:t>20</w:t>
            </w:r>
          </w:p>
        </w:tc>
        <w:tc>
          <w:tcPr>
            <w:tcW w:w="874" w:type="dxa"/>
            <w:shd w:val="clear" w:color="auto" w:fill="FFFFFF"/>
          </w:tcPr>
          <w:p>
            <w:pPr>
              <w:spacing w:line="600" w:lineRule="auto"/>
              <w:jc w:val="center"/>
              <w:rPr>
                <w:color w:val="auto"/>
              </w:rPr>
            </w:pPr>
            <w:r>
              <w:rPr>
                <w:color w:val="auto"/>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满意度</w:t>
            </w:r>
          </w:p>
        </w:tc>
        <w:tc>
          <w:tcPr>
            <w:tcW w:w="3885" w:type="dxa"/>
            <w:tcBorders>
              <w:right w:val="single" w:color="auto" w:sz="4" w:space="0"/>
            </w:tcBorders>
            <w:shd w:val="clear" w:color="000000" w:fill="FFFFFF"/>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社会公众或服务对象对项目实施效果的满意程度。</w:t>
            </w:r>
          </w:p>
        </w:tc>
        <w:tc>
          <w:tcPr>
            <w:tcW w:w="990" w:type="dxa"/>
            <w:tcBorders>
              <w:left w:val="single" w:color="auto" w:sz="4" w:space="0"/>
            </w:tcBorders>
            <w:shd w:val="clear" w:color="000000" w:fill="FFFFFF"/>
          </w:tcPr>
          <w:p>
            <w:pPr>
              <w:spacing w:line="600" w:lineRule="auto"/>
              <w:jc w:val="center"/>
              <w:rPr>
                <w:color w:val="auto"/>
              </w:rPr>
            </w:pPr>
            <w:r>
              <w:rPr>
                <w:color w:val="auto"/>
              </w:rPr>
              <w:t>10</w:t>
            </w:r>
          </w:p>
        </w:tc>
        <w:tc>
          <w:tcPr>
            <w:tcW w:w="874" w:type="dxa"/>
            <w:shd w:val="clear" w:color="000000" w:fill="FFFFFF"/>
          </w:tcPr>
          <w:p>
            <w:pPr>
              <w:spacing w:line="600" w:lineRule="auto"/>
              <w:jc w:val="center"/>
              <w:rPr>
                <w:color w:val="auto"/>
              </w:rPr>
            </w:pPr>
            <w:r>
              <w:rPr>
                <w:color w:val="auto"/>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b/>
                <w:bCs/>
                <w:color w:val="auto"/>
                <w:kern w:val="0"/>
                <w:sz w:val="22"/>
              </w:rPr>
              <w:t>总分</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auto"/>
                <w:kern w:val="0"/>
                <w:sz w:val="22"/>
              </w:rPr>
            </w:pPr>
          </w:p>
        </w:tc>
        <w:tc>
          <w:tcPr>
            <w:tcW w:w="990" w:type="dxa"/>
            <w:tcBorders>
              <w:lef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100</w:t>
            </w:r>
          </w:p>
        </w:tc>
        <w:tc>
          <w:tcPr>
            <w:tcW w:w="874" w:type="dxa"/>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100</w:t>
            </w:r>
          </w:p>
        </w:tc>
      </w:tr>
    </w:tbl>
    <w:p>
      <w:pPr>
        <w:rPr>
          <w:color w:val="auto"/>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pict>
        <v:shape id="Shape 11" o:spid="_x0000_s4097" o:spt="202" type="#_x0000_t202" style="position:absolute;left:0pt;margin-left:295.35pt;margin-top:776.65pt;height:5.75pt;width:13.7pt;mso-position-horizontal-relative:page;mso-position-vertical-relative:page;mso-wrap-style:none;z-index:-251658240;mso-width-relative:page;mso-height-relative:page;" filled="f" stroked="f" coordsize="21600,21600" o:gfxdata="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">
          <v:path/>
          <v:fill on="f" focussize="0,0"/>
          <v:stroke on="f" joinstyle="miter"/>
          <v:imagedata o:title=""/>
          <o:lock v:ext="edit"/>
          <v:textbox inset="0mm,0mm,0mm,0mm" style="mso-fit-shape-to-text:t;">
            <w:txbxContent>
              <w:p>
                <w:pPr>
                  <w:pStyle w:val="17"/>
                  <w:jc w:val="left"/>
                  <w:rPr>
                    <w:sz w:val="17"/>
                    <w:szCs w:val="17"/>
                  </w:rPr>
                </w:pPr>
                <w:r>
                  <w:rPr>
                    <w:rFonts w:ascii="Times New Roman" w:hAnsi="Times New Roman" w:eastAsia="Times New Roman"/>
                    <w:color w:val="000000"/>
                    <w:sz w:val="17"/>
                    <w:szCs w:val="17"/>
                    <w:lang w:eastAsia="en-US" w:bidi="en-US"/>
                  </w:rPr>
                  <w:t>-</w:t>
                </w:r>
                <w:r>
                  <w:fldChar w:fldCharType="begin"/>
                </w:r>
                <w:r>
                  <w:instrText xml:space="preserve"> PAGE \* MERGEFORMAT </w:instrText>
                </w:r>
                <w:r>
                  <w:fldChar w:fldCharType="separate"/>
                </w:r>
                <w:r>
                  <w:rPr>
                    <w:rFonts w:ascii="Times New Roman" w:hAnsi="Times New Roman" w:eastAsia="Times New Roman"/>
                    <w:color w:val="000000"/>
                    <w:sz w:val="17"/>
                    <w:szCs w:val="17"/>
                    <w:lang w:eastAsia="en-US" w:bidi="en-US"/>
                  </w:rPr>
                  <w:t>16</w:t>
                </w:r>
                <w:r>
                  <w:rPr>
                    <w:rFonts w:ascii="Times New Roman" w:hAnsi="Times New Roman" w:eastAsia="Times New Roman"/>
                    <w:color w:val="000000"/>
                    <w:sz w:val="17"/>
                    <w:szCs w:val="17"/>
                    <w:lang w:eastAsia="en-US" w:bidi="en-US"/>
                  </w:rPr>
                  <w:fldChar w:fldCharType="end"/>
                </w:r>
                <w:r>
                  <w:rPr>
                    <w:rFonts w:ascii="Times New Roman" w:hAnsi="Times New Roman" w:eastAsia="Times New Roman"/>
                    <w:color w:val="000000"/>
                    <w:sz w:val="17"/>
                    <w:szCs w:val="17"/>
                    <w:lang w:val="zh-TW" w:eastAsia="zh-TW" w:bidi="zh-TW"/>
                  </w:rPr>
                  <w:t>-</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BAFB85F"/>
    <w:multiLevelType w:val="singleLevel"/>
    <w:tmpl w:val="BBAFB85F"/>
    <w:lvl w:ilvl="0" w:tentative="0">
      <w:start w:val="5"/>
      <w:numFmt w:val="chineseCounting"/>
      <w:suff w:val="nothing"/>
      <w:lvlText w:val="%1、"/>
      <w:lvlJc w:val="left"/>
      <w:rPr>
        <w:rFonts w:hint="eastAsia"/>
      </w:rPr>
    </w:lvl>
  </w:abstractNum>
  <w:abstractNum w:abstractNumId="1">
    <w:nsid w:val="40400BF9"/>
    <w:multiLevelType w:val="multilevel"/>
    <w:tmpl w:val="40400BF9"/>
    <w:lvl w:ilvl="0" w:tentative="0">
      <w:start w:val="1"/>
      <w:numFmt w:val="decimal"/>
      <w:suff w:val="nothing"/>
      <w:lvlText w:val="%1、"/>
      <w:lvlJc w:val="left"/>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2">
    <w:nsid w:val="4453A014"/>
    <w:multiLevelType w:val="singleLevel"/>
    <w:tmpl w:val="4453A014"/>
    <w:lvl w:ilvl="0" w:tentative="0">
      <w:start w:val="5"/>
      <w:numFmt w:val="decimal"/>
      <w:suff w:val="nothing"/>
      <w:lvlText w:val="%1、"/>
      <w:lvlJc w:val="left"/>
    </w:lvl>
  </w:abstractNum>
  <w:abstractNum w:abstractNumId="3">
    <w:nsid w:val="579DA81A"/>
    <w:multiLevelType w:val="singleLevel"/>
    <w:tmpl w:val="579DA81A"/>
    <w:lvl w:ilvl="0" w:tentative="0">
      <w:start w:val="2"/>
      <w:numFmt w:val="chineseCounting"/>
      <w:suff w:val="nothing"/>
      <w:lvlText w:val="（%1）"/>
      <w:lvlJc w:val="left"/>
      <w:rPr>
        <w:rFonts w:hint="eastAsia"/>
      </w:rPr>
    </w:lvl>
  </w:abstractNum>
  <w:num w:numId="1">
    <w:abstractNumId w:val="2"/>
  </w:num>
  <w:num w:numId="2">
    <w:abstractNumId w:val="3"/>
  </w:num>
  <w:num w:numId="3">
    <w:abstractNumId w:val="1"/>
  </w:num>
  <w:num w:numId="4">
    <w:abstractNumId w:val="1"/>
    <w:lvlOverride w:ilvl="0">
      <w:startOverride w:val="4"/>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CF1A91"/>
    <w:rsid w:val="000043E2"/>
    <w:rsid w:val="0001759D"/>
    <w:rsid w:val="000212A7"/>
    <w:rsid w:val="00042CC5"/>
    <w:rsid w:val="0006699A"/>
    <w:rsid w:val="000B7EDD"/>
    <w:rsid w:val="000C5127"/>
    <w:rsid w:val="000D3FF4"/>
    <w:rsid w:val="000E1400"/>
    <w:rsid w:val="000E3033"/>
    <w:rsid w:val="00164F1B"/>
    <w:rsid w:val="00197C8B"/>
    <w:rsid w:val="00217E4B"/>
    <w:rsid w:val="00226DD0"/>
    <w:rsid w:val="002301DF"/>
    <w:rsid w:val="00271A0D"/>
    <w:rsid w:val="00371CD9"/>
    <w:rsid w:val="0037746E"/>
    <w:rsid w:val="0039449D"/>
    <w:rsid w:val="003B3321"/>
    <w:rsid w:val="003C7BEB"/>
    <w:rsid w:val="003D497F"/>
    <w:rsid w:val="00421FCC"/>
    <w:rsid w:val="005257A6"/>
    <w:rsid w:val="00547C67"/>
    <w:rsid w:val="00547E8E"/>
    <w:rsid w:val="00560DDB"/>
    <w:rsid w:val="005C33DB"/>
    <w:rsid w:val="005E4D2E"/>
    <w:rsid w:val="005E71B1"/>
    <w:rsid w:val="005F79DE"/>
    <w:rsid w:val="006200AE"/>
    <w:rsid w:val="0066376A"/>
    <w:rsid w:val="006A1998"/>
    <w:rsid w:val="006A2517"/>
    <w:rsid w:val="006E01D8"/>
    <w:rsid w:val="00712171"/>
    <w:rsid w:val="00792064"/>
    <w:rsid w:val="007D07AE"/>
    <w:rsid w:val="007E5C35"/>
    <w:rsid w:val="008C5F9C"/>
    <w:rsid w:val="008E5987"/>
    <w:rsid w:val="008F7090"/>
    <w:rsid w:val="00912713"/>
    <w:rsid w:val="00954775"/>
    <w:rsid w:val="009814AD"/>
    <w:rsid w:val="009A0DBA"/>
    <w:rsid w:val="009E1E53"/>
    <w:rsid w:val="00A06AF0"/>
    <w:rsid w:val="00A36F50"/>
    <w:rsid w:val="00A94190"/>
    <w:rsid w:val="00AD5F72"/>
    <w:rsid w:val="00B117DA"/>
    <w:rsid w:val="00B12990"/>
    <w:rsid w:val="00C70766"/>
    <w:rsid w:val="00C74FDF"/>
    <w:rsid w:val="00C91908"/>
    <w:rsid w:val="00CD4E84"/>
    <w:rsid w:val="00CE61F8"/>
    <w:rsid w:val="00CF1A91"/>
    <w:rsid w:val="00CF6029"/>
    <w:rsid w:val="00D54E37"/>
    <w:rsid w:val="00D731D6"/>
    <w:rsid w:val="00DB04E1"/>
    <w:rsid w:val="00E70268"/>
    <w:rsid w:val="00EB524B"/>
    <w:rsid w:val="00EC4C2A"/>
    <w:rsid w:val="00EE5828"/>
    <w:rsid w:val="00EF545B"/>
    <w:rsid w:val="00F01A7A"/>
    <w:rsid w:val="00F127AD"/>
    <w:rsid w:val="00F80BDC"/>
    <w:rsid w:val="00FD2D18"/>
    <w:rsid w:val="014B3FF4"/>
    <w:rsid w:val="02D24935"/>
    <w:rsid w:val="05C24D86"/>
    <w:rsid w:val="08435AFD"/>
    <w:rsid w:val="09B65679"/>
    <w:rsid w:val="09D07F19"/>
    <w:rsid w:val="0A013762"/>
    <w:rsid w:val="0D1C2875"/>
    <w:rsid w:val="0DE4036E"/>
    <w:rsid w:val="0F9D4578"/>
    <w:rsid w:val="1172358F"/>
    <w:rsid w:val="11984B4D"/>
    <w:rsid w:val="13A65666"/>
    <w:rsid w:val="13DA163B"/>
    <w:rsid w:val="15FF21F8"/>
    <w:rsid w:val="16BD6542"/>
    <w:rsid w:val="16E67311"/>
    <w:rsid w:val="19137A09"/>
    <w:rsid w:val="1C9303C8"/>
    <w:rsid w:val="1D146788"/>
    <w:rsid w:val="1F602ABC"/>
    <w:rsid w:val="202D07A9"/>
    <w:rsid w:val="209F1A90"/>
    <w:rsid w:val="21AF41E0"/>
    <w:rsid w:val="241F6850"/>
    <w:rsid w:val="25B57005"/>
    <w:rsid w:val="27D1446D"/>
    <w:rsid w:val="2BB42F0B"/>
    <w:rsid w:val="2C9B5DD4"/>
    <w:rsid w:val="36494E9E"/>
    <w:rsid w:val="37202590"/>
    <w:rsid w:val="372B79B1"/>
    <w:rsid w:val="382F43BA"/>
    <w:rsid w:val="3C276B56"/>
    <w:rsid w:val="3C280CB9"/>
    <w:rsid w:val="3E3E1185"/>
    <w:rsid w:val="40D14AB1"/>
    <w:rsid w:val="42516543"/>
    <w:rsid w:val="43A061ED"/>
    <w:rsid w:val="446F43DA"/>
    <w:rsid w:val="452D5808"/>
    <w:rsid w:val="4C2234AB"/>
    <w:rsid w:val="4D1461BC"/>
    <w:rsid w:val="4DA225C0"/>
    <w:rsid w:val="4EB151DB"/>
    <w:rsid w:val="523D1F2B"/>
    <w:rsid w:val="545029A2"/>
    <w:rsid w:val="57C56868"/>
    <w:rsid w:val="57E711A1"/>
    <w:rsid w:val="59A37C92"/>
    <w:rsid w:val="5A2259FD"/>
    <w:rsid w:val="5C55484D"/>
    <w:rsid w:val="63423B5E"/>
    <w:rsid w:val="6448029A"/>
    <w:rsid w:val="64965D5E"/>
    <w:rsid w:val="651D3994"/>
    <w:rsid w:val="667F003C"/>
    <w:rsid w:val="67513064"/>
    <w:rsid w:val="69294DDE"/>
    <w:rsid w:val="6CC730F8"/>
    <w:rsid w:val="70DD570C"/>
    <w:rsid w:val="71480647"/>
    <w:rsid w:val="72385551"/>
    <w:rsid w:val="779156F7"/>
    <w:rsid w:val="780E53F3"/>
    <w:rsid w:val="79D10A9E"/>
    <w:rsid w:val="7C3E1984"/>
    <w:rsid w:val="7CAD52D8"/>
    <w:rsid w:val="7E9C6E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415" w:lineRule="auto"/>
      <w:ind w:firstLine="200"/>
      <w:jc w:val="left"/>
      <w:outlineLvl w:val="1"/>
    </w:pPr>
    <w:rPr>
      <w:rFonts w:ascii="Cambria" w:hAnsi="Cambria"/>
      <w:b/>
      <w:bCs/>
      <w:kern w:val="0"/>
      <w:sz w:val="30"/>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22"/>
    <w:qFormat/>
    <w:uiPriority w:val="0"/>
    <w:pPr>
      <w:tabs>
        <w:tab w:val="center" w:pos="4153"/>
        <w:tab w:val="right" w:pos="8306"/>
      </w:tabs>
      <w:snapToGrid w:val="0"/>
      <w:jc w:val="left"/>
    </w:pPr>
    <w:rPr>
      <w:sz w:val="18"/>
      <w:szCs w:val="18"/>
    </w:rPr>
  </w:style>
  <w:style w:type="paragraph" w:styleId="4">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5">
    <w:name w:val="toc 1"/>
    <w:basedOn w:val="1"/>
    <w:next w:val="1"/>
    <w:unhideWhenUsed/>
    <w:qFormat/>
    <w:uiPriority w:val="39"/>
    <w:pPr>
      <w:spacing w:before="120" w:after="120"/>
      <w:jc w:val="left"/>
    </w:pPr>
    <w:rPr>
      <w:rFonts w:cs="Calibri"/>
      <w:b/>
      <w:bCs/>
      <w:caps/>
      <w:sz w:val="20"/>
      <w:szCs w:val="20"/>
    </w:rPr>
  </w:style>
  <w:style w:type="paragraph" w:styleId="6">
    <w:name w:val="footnote text"/>
    <w:basedOn w:val="1"/>
    <w:qFormat/>
    <w:uiPriority w:val="0"/>
    <w:pPr>
      <w:snapToGrid w:val="0"/>
      <w:jc w:val="left"/>
    </w:pPr>
    <w:rPr>
      <w:sz w:val="18"/>
      <w:szCs w:val="18"/>
    </w:rPr>
  </w:style>
  <w:style w:type="character" w:customStyle="1" w:styleId="9">
    <w:name w:val="Body text|4_"/>
    <w:link w:val="10"/>
    <w:qFormat/>
    <w:uiPriority w:val="0"/>
    <w:rPr>
      <w:sz w:val="30"/>
      <w:szCs w:val="30"/>
      <w:u w:val="none"/>
      <w:shd w:val="clear" w:color="auto" w:fill="auto"/>
      <w:lang w:val="zh-TW" w:eastAsia="zh-TW" w:bidi="zh-TW"/>
    </w:rPr>
  </w:style>
  <w:style w:type="paragraph" w:customStyle="1" w:styleId="10">
    <w:name w:val="Body text|4"/>
    <w:basedOn w:val="1"/>
    <w:link w:val="9"/>
    <w:qFormat/>
    <w:uiPriority w:val="0"/>
    <w:pPr>
      <w:spacing w:line="600" w:lineRule="exact"/>
      <w:ind w:firstLine="360"/>
    </w:pPr>
    <w:rPr>
      <w:kern w:val="0"/>
      <w:sz w:val="30"/>
      <w:szCs w:val="30"/>
      <w:lang w:val="zh-TW" w:eastAsia="zh-TW" w:bidi="zh-TW"/>
    </w:rPr>
  </w:style>
  <w:style w:type="character" w:customStyle="1" w:styleId="11">
    <w:name w:val="Header or footer|1_"/>
    <w:link w:val="12"/>
    <w:qFormat/>
    <w:uiPriority w:val="0"/>
    <w:rPr>
      <w:kern w:val="2"/>
      <w:sz w:val="17"/>
      <w:szCs w:val="17"/>
    </w:rPr>
  </w:style>
  <w:style w:type="paragraph" w:customStyle="1" w:styleId="12">
    <w:name w:val="Header or footer|1"/>
    <w:basedOn w:val="1"/>
    <w:link w:val="11"/>
    <w:qFormat/>
    <w:uiPriority w:val="0"/>
    <w:rPr>
      <w:sz w:val="17"/>
      <w:szCs w:val="17"/>
    </w:rPr>
  </w:style>
  <w:style w:type="character" w:customStyle="1" w:styleId="13">
    <w:name w:val="Body text|1_"/>
    <w:link w:val="14"/>
    <w:qFormat/>
    <w:uiPriority w:val="0"/>
    <w:rPr>
      <w:rFonts w:ascii="宋体" w:hAnsi="宋体" w:cs="宋体"/>
      <w:kern w:val="2"/>
      <w:sz w:val="30"/>
      <w:szCs w:val="30"/>
      <w:lang w:val="zh-TW" w:eastAsia="zh-TW" w:bidi="zh-TW"/>
    </w:rPr>
  </w:style>
  <w:style w:type="paragraph" w:customStyle="1" w:styleId="14">
    <w:name w:val="Body text|1"/>
    <w:basedOn w:val="1"/>
    <w:link w:val="13"/>
    <w:qFormat/>
    <w:uiPriority w:val="0"/>
    <w:pPr>
      <w:spacing w:line="420" w:lineRule="auto"/>
      <w:ind w:firstLine="400"/>
    </w:pPr>
    <w:rPr>
      <w:rFonts w:ascii="宋体" w:hAnsi="宋体" w:cs="宋体"/>
      <w:sz w:val="30"/>
      <w:szCs w:val="30"/>
      <w:lang w:val="zh-TW" w:eastAsia="zh-TW" w:bidi="zh-TW"/>
    </w:rPr>
  </w:style>
  <w:style w:type="paragraph" w:customStyle="1" w:styleId="15">
    <w:name w:val="Other|1"/>
    <w:basedOn w:val="1"/>
    <w:qFormat/>
    <w:uiPriority w:val="0"/>
    <w:pPr>
      <w:spacing w:line="420" w:lineRule="auto"/>
      <w:ind w:firstLine="400"/>
    </w:pPr>
    <w:rPr>
      <w:rFonts w:ascii="宋体" w:hAnsi="宋体" w:cs="宋体"/>
      <w:sz w:val="30"/>
      <w:szCs w:val="30"/>
      <w:lang w:val="zh-TW" w:eastAsia="zh-TW" w:bidi="zh-TW"/>
    </w:rPr>
  </w:style>
  <w:style w:type="paragraph" w:customStyle="1" w:styleId="16">
    <w:name w:val="闻政正文"/>
    <w:basedOn w:val="1"/>
    <w:qFormat/>
    <w:uiPriority w:val="99"/>
    <w:pPr>
      <w:spacing w:line="500" w:lineRule="exact"/>
      <w:ind w:firstLine="883" w:firstLineChars="200"/>
    </w:pPr>
    <w:rPr>
      <w:rFonts w:ascii="Times New Roman" w:hAnsi="Times New Roman" w:eastAsia="仿宋_GB2312"/>
      <w:kern w:val="0"/>
      <w:sz w:val="28"/>
      <w:szCs w:val="28"/>
    </w:rPr>
  </w:style>
  <w:style w:type="paragraph" w:customStyle="1" w:styleId="17">
    <w:name w:val="Header or footer|2"/>
    <w:basedOn w:val="1"/>
    <w:qFormat/>
    <w:uiPriority w:val="0"/>
    <w:rPr>
      <w:sz w:val="20"/>
      <w:szCs w:val="20"/>
    </w:rPr>
  </w:style>
  <w:style w:type="paragraph" w:customStyle="1" w:styleId="18">
    <w:name w:val="Table caption|1"/>
    <w:basedOn w:val="1"/>
    <w:qFormat/>
    <w:uiPriority w:val="0"/>
    <w:rPr>
      <w:rFonts w:ascii="宋体" w:hAnsi="宋体" w:cs="宋体"/>
      <w:sz w:val="32"/>
      <w:szCs w:val="32"/>
      <w:lang w:val="zh-TW" w:eastAsia="zh-TW" w:bidi="zh-TW"/>
    </w:rPr>
  </w:style>
  <w:style w:type="paragraph" w:customStyle="1" w:styleId="19">
    <w:name w:val="闻政-正文三级标题"/>
    <w:basedOn w:val="1"/>
    <w:next w:val="20"/>
    <w:qFormat/>
    <w:uiPriority w:val="3"/>
    <w:pPr>
      <w:widowControl/>
      <w:spacing w:before="120" w:after="60" w:line="500" w:lineRule="exact"/>
      <w:ind w:left="200" w:leftChars="200"/>
    </w:pPr>
    <w:rPr>
      <w:rFonts w:ascii="Times New Roman" w:hAnsi="Times New Roman"/>
      <w:b/>
      <w:snapToGrid w:val="0"/>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页眉 Char"/>
    <w:basedOn w:val="8"/>
    <w:link w:val="4"/>
    <w:qFormat/>
    <w:uiPriority w:val="0"/>
    <w:rPr>
      <w:kern w:val="2"/>
      <w:sz w:val="18"/>
      <w:szCs w:val="18"/>
    </w:rPr>
  </w:style>
  <w:style w:type="character" w:customStyle="1" w:styleId="22">
    <w:name w:val="页脚 Char"/>
    <w:basedOn w:val="8"/>
    <w:link w:val="3"/>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1080</Words>
  <Characters>6162</Characters>
  <Lines>51</Lines>
  <Paragraphs>14</Paragraphs>
  <TotalTime>0</TotalTime>
  <ScaleCrop>false</ScaleCrop>
  <LinksUpToDate>false</LinksUpToDate>
  <CharactersWithSpaces>7228</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2020-04-26T05:20:00Z</dcterms:created>
  <dc:creator>chenliangpingcz</dc:creator>
  <cp:lastModifiedBy>Administrator</cp:lastModifiedBy>
  <dcterms:modified xsi:type="dcterms:W3CDTF">2020-05-27T10:21:18Z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