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FBF7C">
      <w:pPr>
        <w:jc w:val="left"/>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附件2</w:t>
      </w:r>
    </w:p>
    <w:p w14:paraId="45CC2D6F">
      <w:pPr>
        <w:jc w:val="center"/>
        <w:rPr>
          <w:rFonts w:hint="eastAsia" w:ascii="方正小标宋简体" w:hAnsi="方正小标宋简体" w:eastAsia="方正小标宋简体" w:cs="方正小标宋简体"/>
          <w:i w:val="0"/>
          <w:iCs w:val="0"/>
          <w:caps w:val="0"/>
          <w:color w:val="000000"/>
          <w:spacing w:val="0"/>
          <w:sz w:val="44"/>
          <w:szCs w:val="44"/>
          <w:shd w:val="clear" w:color="auto" w:fill="FFFFFF"/>
          <w:lang w:val="en-US" w:eastAsia="zh-CN"/>
        </w:rPr>
      </w:pPr>
      <w:bookmarkStart w:id="0" w:name="_GoBack"/>
      <w:r>
        <w:rPr>
          <w:rFonts w:hint="eastAsia" w:ascii="方正小标宋简体" w:hAnsi="方正小标宋简体" w:eastAsia="方正小标宋简体" w:cs="方正小标宋简体"/>
          <w:i w:val="0"/>
          <w:iCs w:val="0"/>
          <w:caps w:val="0"/>
          <w:color w:val="000000"/>
          <w:spacing w:val="0"/>
          <w:sz w:val="44"/>
          <w:szCs w:val="44"/>
          <w:shd w:val="clear" w:color="auto" w:fill="FFFFFF"/>
          <w:lang w:val="en-US" w:eastAsia="zh-CN"/>
        </w:rPr>
        <w:t>乌尔禾区拟续签2025年医保服务协议的定点零售药店名单</w:t>
      </w:r>
      <w:bookmarkEnd w:id="0"/>
    </w:p>
    <w:p w14:paraId="7A336699">
      <w:pPr>
        <w:jc w:val="center"/>
        <w:rPr>
          <w:rFonts w:hint="eastAsia" w:ascii="方正小标宋简体" w:hAnsi="方正小标宋简体" w:eastAsia="方正小标宋简体" w:cs="方正小标宋简体"/>
          <w:i w:val="0"/>
          <w:iCs w:val="0"/>
          <w:caps w:val="0"/>
          <w:color w:val="000000"/>
          <w:spacing w:val="0"/>
          <w:sz w:val="44"/>
          <w:szCs w:val="44"/>
          <w:shd w:val="clear" w:color="auto" w:fill="FFFFFF"/>
          <w:lang w:val="en-US" w:eastAsia="zh-CN"/>
        </w:rPr>
      </w:pPr>
    </w:p>
    <w:tbl>
      <w:tblPr>
        <w:tblStyle w:val="3"/>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2136"/>
        <w:gridCol w:w="5169"/>
        <w:gridCol w:w="1050"/>
      </w:tblGrid>
      <w:tr w14:paraId="65DE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9A4F37D">
            <w:pPr>
              <w:jc w:val="center"/>
              <w:rPr>
                <w:rFonts w:hint="eastAsia" w:ascii="仿宋_GB2312" w:hAnsi="仿宋_GB2312" w:eastAsia="仿宋_GB2312" w:cs="仿宋_GB2312"/>
                <w:b/>
                <w:bCs/>
                <w:i w:val="0"/>
                <w:iCs w:val="0"/>
                <w:caps w:val="0"/>
                <w:color w:val="000000"/>
                <w:spacing w:val="0"/>
                <w:sz w:val="32"/>
                <w:szCs w:val="32"/>
                <w:shd w:val="clear" w:color="auto" w:fill="FFFFFF"/>
                <w:vertAlign w:val="baseline"/>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vertAlign w:val="baseline"/>
                <w:lang w:val="en-US" w:eastAsia="zh-CN"/>
              </w:rPr>
              <w:t>序号</w:t>
            </w:r>
          </w:p>
        </w:tc>
        <w:tc>
          <w:tcPr>
            <w:tcW w:w="2136" w:type="dxa"/>
            <w:noWrap w:val="0"/>
            <w:vAlign w:val="center"/>
          </w:tcPr>
          <w:p w14:paraId="410B55A9">
            <w:pPr>
              <w:jc w:val="center"/>
              <w:rPr>
                <w:rFonts w:hint="eastAsia" w:ascii="仿宋_GB2312" w:hAnsi="仿宋_GB2312" w:eastAsia="仿宋_GB2312" w:cs="仿宋_GB2312"/>
                <w:b/>
                <w:bCs/>
                <w:i w:val="0"/>
                <w:iCs w:val="0"/>
                <w:caps w:val="0"/>
                <w:color w:val="000000"/>
                <w:spacing w:val="0"/>
                <w:sz w:val="32"/>
                <w:szCs w:val="32"/>
                <w:shd w:val="clear" w:color="auto" w:fill="FFFFFF"/>
                <w:vertAlign w:val="baseline"/>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vertAlign w:val="baseline"/>
                <w:lang w:val="en-US" w:eastAsia="zh-CN"/>
              </w:rPr>
              <w:t>机构代码</w:t>
            </w:r>
          </w:p>
        </w:tc>
        <w:tc>
          <w:tcPr>
            <w:tcW w:w="5169" w:type="dxa"/>
            <w:noWrap w:val="0"/>
            <w:vAlign w:val="center"/>
          </w:tcPr>
          <w:p w14:paraId="12E1D860">
            <w:pPr>
              <w:jc w:val="center"/>
              <w:rPr>
                <w:rFonts w:hint="eastAsia" w:ascii="仿宋_GB2312" w:hAnsi="仿宋_GB2312" w:eastAsia="仿宋_GB2312" w:cs="仿宋_GB2312"/>
                <w:b/>
                <w:bCs/>
                <w:i w:val="0"/>
                <w:iCs w:val="0"/>
                <w:caps w:val="0"/>
                <w:color w:val="000000"/>
                <w:spacing w:val="0"/>
                <w:sz w:val="32"/>
                <w:szCs w:val="32"/>
                <w:shd w:val="clear" w:color="auto" w:fill="FFFFFF"/>
                <w:vertAlign w:val="baseline"/>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vertAlign w:val="baseline"/>
                <w:lang w:val="en-US" w:eastAsia="zh-CN"/>
              </w:rPr>
              <w:t>机构名称</w:t>
            </w:r>
          </w:p>
        </w:tc>
        <w:tc>
          <w:tcPr>
            <w:tcW w:w="1050" w:type="dxa"/>
            <w:noWrap w:val="0"/>
            <w:vAlign w:val="center"/>
          </w:tcPr>
          <w:p w14:paraId="1649F0A1">
            <w:pPr>
              <w:jc w:val="center"/>
              <w:rPr>
                <w:rFonts w:hint="eastAsia" w:ascii="仿宋_GB2312" w:hAnsi="仿宋_GB2312" w:eastAsia="仿宋_GB2312" w:cs="仿宋_GB2312"/>
                <w:b/>
                <w:bCs/>
                <w:i w:val="0"/>
                <w:iCs w:val="0"/>
                <w:caps w:val="0"/>
                <w:color w:val="000000"/>
                <w:spacing w:val="0"/>
                <w:sz w:val="32"/>
                <w:szCs w:val="32"/>
                <w:shd w:val="clear" w:color="auto" w:fill="FFFFFF"/>
                <w:vertAlign w:val="baseline"/>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vertAlign w:val="baseline"/>
                <w:lang w:val="en-US" w:eastAsia="zh-CN"/>
              </w:rPr>
              <w:t>备注</w:t>
            </w:r>
          </w:p>
        </w:tc>
      </w:tr>
      <w:tr w14:paraId="4C4C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76" w:type="dxa"/>
            <w:noWrap w:val="0"/>
            <w:vAlign w:val="center"/>
          </w:tcPr>
          <w:p w14:paraId="7A91CA58">
            <w:pPr>
              <w:jc w:val="center"/>
              <w:rPr>
                <w:rFonts w:hint="default" w:ascii="仿宋_GB2312" w:hAnsi="仿宋_GB2312" w:eastAsia="仿宋_GB2312" w:cs="仿宋_GB2312"/>
                <w:i w:val="0"/>
                <w:iCs w:val="0"/>
                <w:caps w:val="0"/>
                <w:color w:val="000000"/>
                <w:spacing w:val="0"/>
                <w:sz w:val="28"/>
                <w:szCs w:val="28"/>
                <w:shd w:val="clear" w:color="auto"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color="auto" w:fill="FFFFFF"/>
                <w:vertAlign w:val="baseline"/>
                <w:lang w:val="en-US" w:eastAsia="zh-CN"/>
              </w:rPr>
              <w:t>1</w:t>
            </w:r>
          </w:p>
        </w:tc>
        <w:tc>
          <w:tcPr>
            <w:tcW w:w="2136" w:type="dxa"/>
            <w:noWrap w:val="0"/>
            <w:vAlign w:val="center"/>
          </w:tcPr>
          <w:p w14:paraId="773BEE03">
            <w:pPr>
              <w:jc w:val="center"/>
              <w:rPr>
                <w:rFonts w:hint="eastAsia" w:ascii="仿宋_GB2312" w:hAnsi="仿宋_GB2312" w:eastAsia="仿宋_GB2312" w:cs="仿宋_GB2312"/>
                <w:i w:val="0"/>
                <w:iCs w:val="0"/>
                <w:caps w:val="0"/>
                <w:color w:val="000000"/>
                <w:spacing w:val="0"/>
                <w:sz w:val="28"/>
                <w:szCs w:val="28"/>
                <w:shd w:val="clear" w:color="auto"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color="auto" w:fill="FFFFFF"/>
                <w:vertAlign w:val="baseline"/>
                <w:lang w:val="en-US" w:eastAsia="zh-CN"/>
              </w:rPr>
              <w:t>P65020500171</w:t>
            </w:r>
          </w:p>
        </w:tc>
        <w:tc>
          <w:tcPr>
            <w:tcW w:w="5169" w:type="dxa"/>
            <w:noWrap w:val="0"/>
            <w:vAlign w:val="center"/>
          </w:tcPr>
          <w:p w14:paraId="1FC75E92">
            <w:pPr>
              <w:jc w:val="center"/>
              <w:rPr>
                <w:rFonts w:hint="eastAsia" w:ascii="仿宋_GB2312" w:hAnsi="仿宋_GB2312" w:eastAsia="仿宋_GB2312" w:cs="仿宋_GB2312"/>
                <w:i w:val="0"/>
                <w:iCs w:val="0"/>
                <w:caps w:val="0"/>
                <w:color w:val="000000"/>
                <w:spacing w:val="0"/>
                <w:sz w:val="28"/>
                <w:szCs w:val="28"/>
                <w:shd w:val="clear" w:color="auto"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color="auto" w:fill="FFFFFF"/>
                <w:vertAlign w:val="baseline"/>
                <w:lang w:val="en-US" w:eastAsia="zh-CN"/>
              </w:rPr>
              <w:t>国药控股国大药房新疆新特药业连锁有限责任公司克拉玛依四十分店</w:t>
            </w:r>
          </w:p>
        </w:tc>
        <w:tc>
          <w:tcPr>
            <w:tcW w:w="1050" w:type="dxa"/>
            <w:noWrap w:val="0"/>
            <w:vAlign w:val="center"/>
          </w:tcPr>
          <w:p w14:paraId="1A0BB389">
            <w:pPr>
              <w:jc w:val="center"/>
              <w:rPr>
                <w:rFonts w:hint="eastAsia" w:ascii="仿宋_GB2312" w:hAnsi="仿宋_GB2312" w:eastAsia="仿宋_GB2312" w:cs="仿宋_GB2312"/>
                <w:i w:val="0"/>
                <w:iCs w:val="0"/>
                <w:caps w:val="0"/>
                <w:color w:val="000000"/>
                <w:spacing w:val="0"/>
                <w:sz w:val="28"/>
                <w:szCs w:val="28"/>
                <w:shd w:val="clear" w:color="auto" w:fill="FFFFFF"/>
                <w:vertAlign w:val="baseline"/>
                <w:lang w:val="en-US" w:eastAsia="zh-CN"/>
              </w:rPr>
            </w:pPr>
          </w:p>
        </w:tc>
      </w:tr>
      <w:tr w14:paraId="418F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76" w:type="dxa"/>
            <w:noWrap w:val="0"/>
            <w:vAlign w:val="center"/>
          </w:tcPr>
          <w:p w14:paraId="6EDAE555">
            <w:pPr>
              <w:jc w:val="center"/>
              <w:rPr>
                <w:rFonts w:hint="default" w:ascii="仿宋_GB2312" w:hAnsi="仿宋_GB2312" w:eastAsia="仿宋_GB2312" w:cs="仿宋_GB2312"/>
                <w:i w:val="0"/>
                <w:iCs w:val="0"/>
                <w:caps w:val="0"/>
                <w:color w:val="000000"/>
                <w:spacing w:val="0"/>
                <w:sz w:val="28"/>
                <w:szCs w:val="28"/>
                <w:shd w:val="clear" w:color="auto"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color="auto" w:fill="FFFFFF"/>
                <w:vertAlign w:val="baseline"/>
                <w:lang w:val="en-US" w:eastAsia="zh-CN"/>
              </w:rPr>
              <w:t>2</w:t>
            </w:r>
          </w:p>
        </w:tc>
        <w:tc>
          <w:tcPr>
            <w:tcW w:w="2136" w:type="dxa"/>
            <w:noWrap w:val="0"/>
            <w:vAlign w:val="center"/>
          </w:tcPr>
          <w:p w14:paraId="2AB566B9">
            <w:pPr>
              <w:jc w:val="center"/>
              <w:rPr>
                <w:rFonts w:hint="default" w:ascii="仿宋_GB2312" w:hAnsi="仿宋_GB2312" w:eastAsia="仿宋_GB2312" w:cs="仿宋_GB2312"/>
                <w:i w:val="0"/>
                <w:iCs w:val="0"/>
                <w:caps w:val="0"/>
                <w:color w:val="000000"/>
                <w:spacing w:val="0"/>
                <w:sz w:val="28"/>
                <w:szCs w:val="28"/>
                <w:shd w:val="clear" w:color="auto"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color="auto" w:fill="FFFFFF"/>
                <w:vertAlign w:val="baseline"/>
                <w:lang w:val="en-US" w:eastAsia="zh-CN"/>
              </w:rPr>
              <w:t>P65020500023</w:t>
            </w:r>
          </w:p>
        </w:tc>
        <w:tc>
          <w:tcPr>
            <w:tcW w:w="5169" w:type="dxa"/>
            <w:noWrap w:val="0"/>
            <w:vAlign w:val="center"/>
          </w:tcPr>
          <w:p w14:paraId="76CBC017">
            <w:pPr>
              <w:jc w:val="center"/>
              <w:rPr>
                <w:rFonts w:hint="eastAsia" w:ascii="仿宋_GB2312" w:hAnsi="仿宋_GB2312" w:eastAsia="仿宋_GB2312" w:cs="仿宋_GB2312"/>
                <w:i w:val="0"/>
                <w:iCs w:val="0"/>
                <w:caps w:val="0"/>
                <w:color w:val="000000"/>
                <w:spacing w:val="0"/>
                <w:sz w:val="28"/>
                <w:szCs w:val="28"/>
                <w:shd w:val="clear" w:color="auto"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color="auto" w:fill="FFFFFF"/>
                <w:vertAlign w:val="baseline"/>
                <w:lang w:val="en-US" w:eastAsia="zh-CN"/>
              </w:rPr>
              <w:t>克拉玛依市静之安药房</w:t>
            </w:r>
          </w:p>
        </w:tc>
        <w:tc>
          <w:tcPr>
            <w:tcW w:w="1050" w:type="dxa"/>
            <w:noWrap w:val="0"/>
            <w:vAlign w:val="center"/>
          </w:tcPr>
          <w:p w14:paraId="78DF0DA5">
            <w:pPr>
              <w:jc w:val="cente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pPr>
          </w:p>
        </w:tc>
      </w:tr>
      <w:tr w14:paraId="4FB2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76" w:type="dxa"/>
            <w:noWrap w:val="0"/>
            <w:vAlign w:val="center"/>
          </w:tcPr>
          <w:p w14:paraId="510E9F34">
            <w:pPr>
              <w:jc w:val="cente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pPr>
          </w:p>
        </w:tc>
        <w:tc>
          <w:tcPr>
            <w:tcW w:w="2136" w:type="dxa"/>
            <w:noWrap w:val="0"/>
            <w:vAlign w:val="center"/>
          </w:tcPr>
          <w:p w14:paraId="32140CD3">
            <w:pPr>
              <w:jc w:val="cente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pPr>
          </w:p>
        </w:tc>
        <w:tc>
          <w:tcPr>
            <w:tcW w:w="5169" w:type="dxa"/>
            <w:noWrap w:val="0"/>
            <w:vAlign w:val="center"/>
          </w:tcPr>
          <w:p w14:paraId="5B84B83B">
            <w:pPr>
              <w:jc w:val="cente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pPr>
          </w:p>
        </w:tc>
        <w:tc>
          <w:tcPr>
            <w:tcW w:w="1050" w:type="dxa"/>
            <w:noWrap w:val="0"/>
            <w:vAlign w:val="center"/>
          </w:tcPr>
          <w:p w14:paraId="67533EFC">
            <w:pPr>
              <w:jc w:val="cente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pPr>
          </w:p>
        </w:tc>
      </w:tr>
    </w:tbl>
    <w:p w14:paraId="1F7AD07E">
      <w:pPr>
        <w:ind w:firstLine="640" w:firstLineChars="200"/>
        <w:rPr>
          <w:rFonts w:hint="default" w:ascii="仿宋_GB2312" w:hAnsi="仿宋_GB2312" w:eastAsia="仿宋_GB2312" w:cs="仿宋_GB2312"/>
          <w:i w:val="0"/>
          <w:iCs w:val="0"/>
          <w:caps w:val="0"/>
          <w:color w:val="000000"/>
          <w:spacing w:val="0"/>
          <w:sz w:val="32"/>
          <w:szCs w:val="32"/>
          <w:shd w:val="clear" w:color="auto" w:fill="FFFFFF"/>
          <w:lang w:val="en-US" w:eastAsia="zh-CN"/>
        </w:rPr>
      </w:pPr>
    </w:p>
    <w:p w14:paraId="51094E01">
      <w:pPr>
        <w:ind w:firstLine="640" w:firstLineChars="200"/>
        <w:rPr>
          <w:rFonts w:hint="default" w:ascii="仿宋_GB2312" w:hAnsi="仿宋_GB2312" w:eastAsia="仿宋_GB2312" w:cs="仿宋_GB2312"/>
          <w:i w:val="0"/>
          <w:iCs w:val="0"/>
          <w:caps w:val="0"/>
          <w:color w:val="000000"/>
          <w:spacing w:val="0"/>
          <w:sz w:val="32"/>
          <w:szCs w:val="32"/>
          <w:shd w:val="clear" w:color="auto" w:fill="FFFFFF"/>
          <w:lang w:val="en-US" w:eastAsia="zh-CN"/>
        </w:rPr>
      </w:pPr>
    </w:p>
    <w:p w14:paraId="3D4E5FBC">
      <w:pPr>
        <w:ind w:firstLine="640" w:firstLineChars="200"/>
        <w:rPr>
          <w:rFonts w:hint="default" w:ascii="仿宋_GB2312" w:hAnsi="仿宋_GB2312" w:eastAsia="仿宋_GB2312" w:cs="仿宋_GB2312"/>
          <w:i w:val="0"/>
          <w:iCs w:val="0"/>
          <w:caps w:val="0"/>
          <w:color w:val="000000"/>
          <w:spacing w:val="0"/>
          <w:sz w:val="32"/>
          <w:szCs w:val="32"/>
          <w:shd w:val="clear" w:color="auto" w:fill="FFFFFF"/>
          <w:lang w:val="en-US" w:eastAsia="zh-CN"/>
        </w:rPr>
      </w:pPr>
    </w:p>
    <w:p w14:paraId="34C51B9D">
      <w:pPr>
        <w:ind w:firstLine="640" w:firstLineChars="200"/>
        <w:rPr>
          <w:rFonts w:hint="default" w:ascii="仿宋_GB2312" w:hAnsi="仿宋_GB2312" w:eastAsia="仿宋_GB2312" w:cs="仿宋_GB2312"/>
          <w:i w:val="0"/>
          <w:iCs w:val="0"/>
          <w:caps w:val="0"/>
          <w:color w:val="000000"/>
          <w:spacing w:val="0"/>
          <w:sz w:val="32"/>
          <w:szCs w:val="32"/>
          <w:shd w:val="clear" w:color="auto" w:fill="FFFFFF"/>
          <w:lang w:val="en-US" w:eastAsia="zh-CN"/>
        </w:rPr>
      </w:pPr>
    </w:p>
    <w:p w14:paraId="7B51AD9A">
      <w:pPr>
        <w:ind w:firstLine="640" w:firstLineChars="200"/>
        <w:rPr>
          <w:rFonts w:hint="default" w:ascii="仿宋_GB2312" w:hAnsi="仿宋_GB2312" w:eastAsia="仿宋_GB2312" w:cs="仿宋_GB2312"/>
          <w:i w:val="0"/>
          <w:iCs w:val="0"/>
          <w:caps w:val="0"/>
          <w:color w:val="000000"/>
          <w:spacing w:val="0"/>
          <w:sz w:val="32"/>
          <w:szCs w:val="32"/>
          <w:shd w:val="clear" w:color="auto" w:fill="FFFFFF"/>
          <w:lang w:val="en-US" w:eastAsia="zh-CN"/>
        </w:rPr>
      </w:pPr>
    </w:p>
    <w:p w14:paraId="18C9D12D">
      <w:pPr>
        <w:ind w:firstLine="640" w:firstLineChars="200"/>
        <w:rPr>
          <w:rFonts w:hint="default" w:ascii="仿宋_GB2312" w:hAnsi="仿宋_GB2312" w:eastAsia="仿宋_GB2312" w:cs="仿宋_GB2312"/>
          <w:i w:val="0"/>
          <w:iCs w:val="0"/>
          <w:caps w:val="0"/>
          <w:color w:val="000000"/>
          <w:spacing w:val="0"/>
          <w:sz w:val="32"/>
          <w:szCs w:val="32"/>
          <w:shd w:val="clear" w:color="auto" w:fill="FFFFFF"/>
          <w:lang w:val="en-US" w:eastAsia="zh-CN"/>
        </w:rPr>
      </w:pPr>
    </w:p>
    <w:p w14:paraId="6588C0D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A31A6"/>
    <w:rsid w:val="370A31A6"/>
    <w:rsid w:val="56CB7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2025-02-25T09:19:00Z</dcterms:created>
  <dc:creator>紫砂萱</dc:creator>
  <cp:lastModifiedBy>紫砂萱</cp:lastModifiedBy>
  <dcterms:modified xsi:type="dcterms:W3CDTF">2025-02-25T09:21:20Z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D5C87C7992BD461398CDF64C8C35BC12_13</vt:lpwstr>
  </property>
  <property fmtid="{D5CDD505-2E9C-101B-9397-08002B2CF9AE}" pid="4" name="KSOTemplateDocerSaveRecord">
    <vt:lpwstr>eyJoZGlkIjoiZWY1ZGMyMTRmY2NmMzU5YTc1MTYzOTczZThlODQyM2YiLCJ1c2VySWQiOiI4NjE5NDQzNzgifQ==</vt:lpwstr>
  </property>
</Properties>
</file>