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仿宋_GB2312" w:eastAsia="仿宋_GB2312" w:cs="仿宋_GB2312"/>
          <w:color w:val="auto"/>
          <w:kern w:val="0"/>
          <w:sz w:val="44"/>
          <w:szCs w:val="44"/>
          <w:highlight w:val="none"/>
        </w:rPr>
      </w:pPr>
    </w:p>
    <w:p>
      <w:pPr>
        <w:spacing w:line="560" w:lineRule="exact"/>
        <w:jc w:val="center"/>
        <w:rPr>
          <w:rFonts w:ascii="仿宋_GB2312" w:hAnsi="仿宋_GB2312" w:eastAsia="仿宋_GB2312" w:cs="仿宋_GB2312"/>
          <w:b/>
          <w:bCs/>
          <w:color w:val="auto"/>
          <w:kern w:val="0"/>
          <w:sz w:val="44"/>
          <w:szCs w:val="44"/>
          <w:highlight w:val="none"/>
        </w:rPr>
      </w:pPr>
      <w:r>
        <w:rPr>
          <w:rFonts w:hint="eastAsia" w:ascii="仿宋_GB2312" w:hAnsi="仿宋_GB2312" w:eastAsia="仿宋_GB2312" w:cs="仿宋_GB2312"/>
          <w:b/>
          <w:bCs/>
          <w:color w:val="auto"/>
          <w:kern w:val="0"/>
          <w:sz w:val="44"/>
          <w:szCs w:val="44"/>
          <w:highlight w:val="none"/>
        </w:rPr>
        <w:t>乌尔禾区项目支出绩效评价报告</w:t>
      </w:r>
    </w:p>
    <w:p>
      <w:pPr>
        <w:jc w:val="center"/>
        <w:rPr>
          <w:rFonts w:ascii="仿宋_GB2312" w:hAnsi="仿宋_GB2312" w:eastAsia="仿宋_GB2312" w:cs="仿宋_GB2312"/>
          <w:color w:val="auto"/>
          <w:kern w:val="0"/>
          <w:sz w:val="44"/>
          <w:szCs w:val="44"/>
          <w:highlight w:val="none"/>
        </w:rPr>
      </w:pPr>
    </w:p>
    <w:p>
      <w:pPr>
        <w:jc w:val="center"/>
        <w:rPr>
          <w:rFonts w:ascii="宋体" w:hAnsi="宋体" w:cs="Arial"/>
          <w:b/>
          <w:bCs/>
          <w:color w:val="auto"/>
          <w:sz w:val="36"/>
          <w:szCs w:val="36"/>
          <w:highlight w:val="none"/>
        </w:rPr>
      </w:pPr>
      <w:r>
        <w:rPr>
          <w:rFonts w:hint="eastAsia" w:ascii="宋体" w:hAnsi="宋体" w:cs="Arial"/>
          <w:b/>
          <w:bCs/>
          <w:color w:val="auto"/>
          <w:sz w:val="36"/>
          <w:szCs w:val="36"/>
          <w:highlight w:val="none"/>
        </w:rPr>
        <w:t>（20</w:t>
      </w:r>
      <w:r>
        <w:rPr>
          <w:rFonts w:hint="eastAsia" w:ascii="宋体" w:hAnsi="宋体" w:cs="Arial"/>
          <w:b/>
          <w:bCs/>
          <w:color w:val="auto"/>
          <w:sz w:val="36"/>
          <w:szCs w:val="36"/>
          <w:highlight w:val="none"/>
          <w:lang w:val="en-US" w:eastAsia="zh-CN"/>
        </w:rPr>
        <w:t>20</w:t>
      </w:r>
      <w:r>
        <w:rPr>
          <w:rFonts w:hint="eastAsia" w:ascii="宋体" w:hAnsi="宋体" w:cs="Arial"/>
          <w:b/>
          <w:bCs/>
          <w:color w:val="auto"/>
          <w:sz w:val="36"/>
          <w:szCs w:val="36"/>
          <w:highlight w:val="none"/>
        </w:rPr>
        <w:t>年度）</w:t>
      </w:r>
    </w:p>
    <w:p>
      <w:pPr>
        <w:spacing w:line="480" w:lineRule="auto"/>
        <w:jc w:val="center"/>
        <w:rPr>
          <w:rFonts w:ascii="仿宋_GB2312" w:hAnsi="仿宋_GB2312" w:eastAsia="仿宋_GB2312" w:cs="仿宋_GB2312"/>
          <w:b/>
          <w:color w:val="auto"/>
          <w:kern w:val="0"/>
          <w:sz w:val="50"/>
          <w:szCs w:val="50"/>
          <w:highlight w:val="none"/>
          <w:lang w:bidi="en-US"/>
        </w:rPr>
      </w:pPr>
    </w:p>
    <w:p>
      <w:pPr>
        <w:spacing w:line="480" w:lineRule="auto"/>
        <w:jc w:val="center"/>
        <w:rPr>
          <w:rFonts w:ascii="仿宋_GB2312" w:hAnsi="仿宋_GB2312" w:eastAsia="仿宋_GB2312" w:cs="仿宋_GB2312"/>
          <w:b/>
          <w:color w:val="auto"/>
          <w:kern w:val="0"/>
          <w:sz w:val="50"/>
          <w:szCs w:val="50"/>
          <w:highlight w:val="none"/>
          <w:lang w:bidi="en-US"/>
        </w:rPr>
      </w:pPr>
    </w:p>
    <w:p>
      <w:pPr>
        <w:spacing w:line="480" w:lineRule="auto"/>
        <w:jc w:val="center"/>
        <w:rPr>
          <w:rFonts w:ascii="仿宋_GB2312" w:hAnsi="仿宋_GB2312" w:eastAsia="仿宋_GB2312" w:cs="仿宋_GB2312"/>
          <w:b/>
          <w:color w:val="auto"/>
          <w:kern w:val="0"/>
          <w:sz w:val="50"/>
          <w:szCs w:val="50"/>
          <w:highlight w:val="none"/>
          <w:lang w:bidi="en-US"/>
        </w:rPr>
      </w:pPr>
    </w:p>
    <w:p>
      <w:pPr>
        <w:spacing w:line="480" w:lineRule="auto"/>
        <w:jc w:val="center"/>
        <w:rPr>
          <w:rFonts w:ascii="仿宋_GB2312" w:hAnsi="仿宋_GB2312" w:eastAsia="仿宋_GB2312" w:cs="仿宋_GB2312"/>
          <w:b/>
          <w:color w:val="auto"/>
          <w:kern w:val="0"/>
          <w:sz w:val="50"/>
          <w:szCs w:val="50"/>
          <w:highlight w:val="none"/>
          <w:lang w:bidi="en-US"/>
        </w:rPr>
      </w:pPr>
    </w:p>
    <w:p>
      <w:pPr>
        <w:spacing w:line="480" w:lineRule="auto"/>
        <w:jc w:val="center"/>
        <w:rPr>
          <w:rFonts w:ascii="仿宋_GB2312" w:hAnsi="仿宋_GB2312" w:eastAsia="仿宋_GB2312" w:cs="仿宋_GB2312"/>
          <w:b/>
          <w:color w:val="auto"/>
          <w:kern w:val="0"/>
          <w:sz w:val="50"/>
          <w:szCs w:val="50"/>
          <w:highlight w:val="none"/>
          <w:lang w:bidi="en-US"/>
        </w:rPr>
      </w:pPr>
    </w:p>
    <w:p>
      <w:pPr>
        <w:spacing w:line="480" w:lineRule="auto"/>
        <w:jc w:val="left"/>
        <w:rPr>
          <w:rFonts w:ascii="仿宋_GB2312" w:hAnsi="Times New Roman" w:eastAsia="仿宋_GB2312"/>
          <w:color w:val="auto"/>
          <w:kern w:val="0"/>
          <w:sz w:val="32"/>
          <w:szCs w:val="32"/>
          <w:highlight w:val="none"/>
          <w:lang w:bidi="en-US"/>
        </w:rPr>
      </w:pPr>
      <w:r>
        <w:rPr>
          <w:rFonts w:hint="eastAsia" w:ascii="仿宋_GB2312" w:hAnsi="仿宋_GB2312" w:eastAsia="仿宋_GB2312" w:cs="仿宋_GB2312"/>
          <w:color w:val="auto"/>
          <w:kern w:val="0"/>
          <w:sz w:val="36"/>
          <w:szCs w:val="36"/>
          <w:highlight w:val="none"/>
        </w:rPr>
        <w:t>项目名称：网站建设经费</w:t>
      </w:r>
    </w:p>
    <w:p>
      <w:pPr>
        <w:spacing w:line="480" w:lineRule="auto"/>
        <w:jc w:val="left"/>
        <w:rPr>
          <w:rFonts w:ascii="仿宋_GB2312" w:hAnsi="仿宋_GB2312" w:eastAsia="仿宋_GB2312" w:cs="仿宋_GB2312"/>
          <w:color w:val="auto"/>
          <w:kern w:val="0"/>
          <w:sz w:val="36"/>
          <w:szCs w:val="36"/>
          <w:highlight w:val="none"/>
        </w:rPr>
      </w:pPr>
    </w:p>
    <w:p>
      <w:pPr>
        <w:spacing w:line="480" w:lineRule="auto"/>
        <w:jc w:val="left"/>
        <w:rPr>
          <w:rFonts w:ascii="仿宋_GB2312" w:hAnsi="仿宋_GB2312" w:eastAsia="仿宋_GB2312" w:cs="仿宋_GB2312"/>
          <w:color w:val="auto"/>
          <w:kern w:val="0"/>
          <w:sz w:val="36"/>
          <w:szCs w:val="36"/>
          <w:highlight w:val="none"/>
        </w:rPr>
      </w:pPr>
      <w:r>
        <w:rPr>
          <w:rFonts w:hint="eastAsia" w:ascii="仿宋_GB2312" w:hAnsi="仿宋_GB2312" w:eastAsia="仿宋_GB2312" w:cs="仿宋_GB2312"/>
          <w:color w:val="auto"/>
          <w:kern w:val="0"/>
          <w:sz w:val="36"/>
          <w:szCs w:val="36"/>
          <w:highlight w:val="none"/>
        </w:rPr>
        <w:t>项目单位：乌尔禾区人民政府办公室</w:t>
      </w:r>
    </w:p>
    <w:p>
      <w:pPr>
        <w:spacing w:line="480" w:lineRule="auto"/>
        <w:jc w:val="left"/>
        <w:rPr>
          <w:rFonts w:ascii="仿宋_GB2312" w:hAnsi="仿宋_GB2312" w:eastAsia="仿宋_GB2312" w:cs="仿宋_GB2312"/>
          <w:color w:val="auto"/>
          <w:kern w:val="0"/>
          <w:sz w:val="36"/>
          <w:szCs w:val="36"/>
          <w:highlight w:val="none"/>
        </w:rPr>
      </w:pPr>
    </w:p>
    <w:p>
      <w:pPr>
        <w:spacing w:line="480" w:lineRule="auto"/>
        <w:jc w:val="left"/>
        <w:rPr>
          <w:rFonts w:ascii="仿宋_GB2312" w:hAnsi="仿宋_GB2312" w:eastAsia="仿宋_GB2312" w:cs="仿宋_GB2312"/>
          <w:color w:val="auto"/>
          <w:kern w:val="0"/>
          <w:sz w:val="36"/>
          <w:szCs w:val="36"/>
          <w:highlight w:val="none"/>
        </w:rPr>
      </w:pPr>
      <w:r>
        <w:rPr>
          <w:rFonts w:hint="eastAsia" w:ascii="仿宋_GB2312" w:hAnsi="仿宋_GB2312" w:eastAsia="仿宋_GB2312" w:cs="仿宋_GB2312"/>
          <w:color w:val="auto"/>
          <w:kern w:val="0"/>
          <w:sz w:val="36"/>
          <w:szCs w:val="36"/>
          <w:highlight w:val="none"/>
        </w:rPr>
        <w:t>主管部门：乌尔禾区人民政府办公室</w:t>
      </w:r>
    </w:p>
    <w:p>
      <w:pPr>
        <w:spacing w:line="480" w:lineRule="auto"/>
        <w:jc w:val="left"/>
        <w:rPr>
          <w:rFonts w:ascii="仿宋_GB2312" w:hAnsi="仿宋_GB2312" w:eastAsia="仿宋_GB2312" w:cs="仿宋_GB2312"/>
          <w:color w:val="auto"/>
          <w:kern w:val="0"/>
          <w:sz w:val="36"/>
          <w:szCs w:val="36"/>
          <w:highlight w:val="none"/>
        </w:rPr>
      </w:pPr>
    </w:p>
    <w:p>
      <w:pPr>
        <w:spacing w:line="480" w:lineRule="auto"/>
        <w:jc w:val="left"/>
        <w:rPr>
          <w:rFonts w:ascii="仿宋_GB2312" w:hAnsi="仿宋_GB2312" w:eastAsia="仿宋_GB2312" w:cs="仿宋_GB2312"/>
          <w:color w:val="auto"/>
          <w:kern w:val="0"/>
          <w:sz w:val="36"/>
          <w:szCs w:val="36"/>
          <w:highlight w:val="none"/>
        </w:rPr>
      </w:pPr>
    </w:p>
    <w:p>
      <w:pPr>
        <w:spacing w:line="480" w:lineRule="auto"/>
        <w:jc w:val="left"/>
        <w:rPr>
          <w:rFonts w:ascii="仿宋_GB2312" w:hAnsi="仿宋_GB2312" w:eastAsia="仿宋_GB2312" w:cs="仿宋_GB2312"/>
          <w:color w:val="auto"/>
          <w:kern w:val="0"/>
          <w:sz w:val="36"/>
          <w:szCs w:val="36"/>
          <w:highlight w:val="none"/>
        </w:rPr>
      </w:pPr>
    </w:p>
    <w:p>
      <w:pPr>
        <w:spacing w:line="480" w:lineRule="auto"/>
        <w:ind w:firstLine="3040" w:firstLineChars="950"/>
        <w:jc w:val="left"/>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10</w:t>
      </w:r>
      <w:r>
        <w:rPr>
          <w:rFonts w:hint="eastAsia" w:ascii="仿宋_GB2312" w:hAnsi="仿宋_GB2312" w:eastAsia="仿宋_GB2312" w:cs="仿宋_GB2312"/>
          <w:color w:val="auto"/>
          <w:kern w:val="0"/>
          <w:sz w:val="32"/>
          <w:szCs w:val="32"/>
          <w:highlight w:val="none"/>
        </w:rPr>
        <w:t>日</w:t>
      </w:r>
    </w:p>
    <w:p>
      <w:pPr>
        <w:rPr>
          <w:rFonts w:ascii="仿宋_GB2312" w:hAnsi="Times New Roman" w:eastAsia="仿宋_GB2312"/>
          <w:color w:val="auto"/>
          <w:sz w:val="30"/>
          <w:szCs w:val="30"/>
          <w:highlight w:val="none"/>
        </w:rPr>
      </w:pPr>
    </w:p>
    <w:p>
      <w:pPr>
        <w:rPr>
          <w:rFonts w:ascii="仿宋_GB2312" w:hAnsi="Times New Roman" w:eastAsia="仿宋_GB2312"/>
          <w:color w:val="auto"/>
          <w:sz w:val="30"/>
          <w:szCs w:val="30"/>
          <w:highlight w:val="none"/>
        </w:rPr>
      </w:pPr>
    </w:p>
    <w:p>
      <w:p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一、基本情况</w:t>
      </w:r>
    </w:p>
    <w:p>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（一）项目概况</w:t>
      </w:r>
    </w:p>
    <w:p>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1、项目背景</w:t>
      </w:r>
    </w:p>
    <w:p>
      <w:pPr>
        <w:spacing w:line="600" w:lineRule="exact"/>
        <w:ind w:firstLine="600" w:firstLineChars="200"/>
        <w:outlineLvl w:val="0"/>
        <w:rPr>
          <w:rFonts w:hint="eastAsia" w:ascii="仿宋_GB2312" w:eastAsia="仿宋_GB2312"/>
          <w:color w:val="auto"/>
          <w:sz w:val="30"/>
          <w:szCs w:val="24"/>
          <w:highlight w:val="none"/>
        </w:rPr>
      </w:pPr>
      <w:r>
        <w:rPr>
          <w:rFonts w:hint="eastAsia" w:ascii="仿宋_GB2312" w:eastAsia="仿宋_GB2312"/>
          <w:color w:val="auto"/>
          <w:sz w:val="30"/>
          <w:szCs w:val="24"/>
          <w:highlight w:val="none"/>
          <w:lang w:eastAsia="zh-CN"/>
        </w:rPr>
        <w:t>网站建设项目是的</w:t>
      </w:r>
      <w:r>
        <w:rPr>
          <w:rFonts w:hint="eastAsia" w:ascii="仿宋_GB2312" w:eastAsia="仿宋_GB2312"/>
          <w:color w:val="auto"/>
          <w:sz w:val="30"/>
          <w:szCs w:val="24"/>
          <w:highlight w:val="none"/>
        </w:rPr>
        <w:t>优化政府门户网站功能，实现资源整合、在线服务、信息公开、民主参与的功能。通过不断优化政府网站功能，促进政务信息公开，提高政务公开透明度和人民群众满意</w:t>
      </w:r>
      <w:r>
        <w:rPr>
          <w:rFonts w:hint="eastAsia" w:ascii="仿宋_GB2312" w:eastAsia="仿宋_GB2312"/>
          <w:color w:val="auto"/>
          <w:sz w:val="30"/>
          <w:szCs w:val="24"/>
          <w:highlight w:val="none"/>
          <w:lang w:eastAsia="zh-CN"/>
        </w:rPr>
        <w:t>的经费。</w:t>
      </w:r>
      <w:r>
        <w:rPr>
          <w:rFonts w:hint="eastAsia" w:ascii="仿宋_GB2312" w:eastAsia="仿宋_GB2312"/>
          <w:color w:val="auto"/>
          <w:sz w:val="30"/>
          <w:szCs w:val="24"/>
          <w:highlight w:val="none"/>
        </w:rPr>
        <w:t>区政府办公室自2019年成立以来便设立网站建设项目，旨在推动地方发展、稳定，带动政府各部门开展工作等。20</w:t>
      </w:r>
      <w:r>
        <w:rPr>
          <w:rFonts w:hint="eastAsia" w:ascii="仿宋_GB2312" w:eastAsia="仿宋_GB2312"/>
          <w:color w:val="auto"/>
          <w:sz w:val="30"/>
          <w:szCs w:val="24"/>
          <w:highlight w:val="none"/>
          <w:lang w:val="en-US" w:eastAsia="zh-CN"/>
        </w:rPr>
        <w:t>20</w:t>
      </w:r>
      <w:r>
        <w:rPr>
          <w:rFonts w:hint="eastAsia" w:ascii="仿宋_GB2312" w:eastAsia="仿宋_GB2312"/>
          <w:color w:val="auto"/>
          <w:sz w:val="30"/>
          <w:szCs w:val="24"/>
          <w:highlight w:val="none"/>
        </w:rPr>
        <w:t>年，为深入实施经济创新发展战略，区政府办认真贯彻落实市委市政府将创新作为城市转型“三大突破口”的决策部署，深化政府体制改革，建设创新服务平台，增强科技创新投入，实施发展重大专项，使全区科技创新环境进一步改善，企业创新主体地位进一步提升，创新驱动发展成效显著。</w:t>
      </w:r>
    </w:p>
    <w:p>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2、主要内容</w:t>
      </w:r>
    </w:p>
    <w:p>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网站建设经费的内容主要是优化政府门户网站功能，实现资源整合、在线服务、信息公开、民主参与的功能。通过不断优化政府网站功能，促进政务信息公开，提高政务公开透明度和人民群众满意度。</w:t>
      </w:r>
    </w:p>
    <w:p>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3、实施情况</w:t>
      </w:r>
    </w:p>
    <w:p>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实施主体：乌尔禾区人民政府办公室，是人民政府工作部门，为</w:t>
      </w:r>
      <w:r>
        <w:rPr>
          <w:rFonts w:hint="eastAsia" w:ascii="仿宋_GB2312" w:eastAsia="仿宋_GB2312"/>
          <w:color w:val="auto"/>
          <w:sz w:val="30"/>
          <w:szCs w:val="24"/>
          <w:highlight w:val="none"/>
          <w:lang w:eastAsia="zh-CN"/>
        </w:rPr>
        <w:t>正</w:t>
      </w:r>
      <w:r>
        <w:rPr>
          <w:rFonts w:hint="eastAsia" w:ascii="仿宋_GB2312" w:eastAsia="仿宋_GB2312"/>
          <w:color w:val="auto"/>
          <w:sz w:val="30"/>
          <w:szCs w:val="24"/>
          <w:highlight w:val="none"/>
        </w:rPr>
        <w:t>科级单位。</w:t>
      </w:r>
    </w:p>
    <w:p>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实施时间：网站建设经费工作开展时间为20</w:t>
      </w:r>
      <w:r>
        <w:rPr>
          <w:rFonts w:hint="eastAsia" w:ascii="仿宋_GB2312" w:eastAsia="仿宋_GB2312"/>
          <w:color w:val="auto"/>
          <w:sz w:val="30"/>
          <w:szCs w:val="24"/>
          <w:highlight w:val="none"/>
          <w:lang w:val="en-US" w:eastAsia="zh-CN"/>
        </w:rPr>
        <w:t>20</w:t>
      </w:r>
      <w:r>
        <w:rPr>
          <w:rFonts w:hint="eastAsia" w:ascii="仿宋_GB2312" w:eastAsia="仿宋_GB2312"/>
          <w:color w:val="auto"/>
          <w:sz w:val="30"/>
          <w:szCs w:val="24"/>
          <w:highlight w:val="none"/>
        </w:rPr>
        <w:t>年1月—20</w:t>
      </w:r>
      <w:r>
        <w:rPr>
          <w:rFonts w:hint="eastAsia" w:ascii="仿宋_GB2312" w:eastAsia="仿宋_GB2312"/>
          <w:color w:val="auto"/>
          <w:sz w:val="30"/>
          <w:szCs w:val="24"/>
          <w:highlight w:val="none"/>
          <w:lang w:val="en-US" w:eastAsia="zh-CN"/>
        </w:rPr>
        <w:t>20</w:t>
      </w:r>
      <w:r>
        <w:rPr>
          <w:rFonts w:hint="eastAsia" w:ascii="仿宋_GB2312" w:eastAsia="仿宋_GB2312"/>
          <w:color w:val="auto"/>
          <w:sz w:val="30"/>
          <w:szCs w:val="24"/>
          <w:highlight w:val="none"/>
        </w:rPr>
        <w:t>年12月，属于延续性项目。</w:t>
      </w:r>
    </w:p>
    <w:p>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实施结果：项目资金执行率达到了</w:t>
      </w:r>
      <w:r>
        <w:rPr>
          <w:rFonts w:hint="eastAsia" w:ascii="仿宋_GB2312" w:eastAsia="仿宋_GB2312"/>
          <w:color w:val="auto"/>
          <w:sz w:val="30"/>
          <w:szCs w:val="24"/>
          <w:highlight w:val="none"/>
          <w:lang w:val="en-US" w:eastAsia="zh-CN"/>
        </w:rPr>
        <w:t>100</w:t>
      </w:r>
      <w:r>
        <w:rPr>
          <w:rFonts w:hint="eastAsia" w:ascii="仿宋_GB2312" w:eastAsia="仿宋_GB2312"/>
          <w:color w:val="auto"/>
          <w:sz w:val="30"/>
          <w:szCs w:val="24"/>
          <w:highlight w:val="none"/>
        </w:rPr>
        <w:t>%,结余经费</w:t>
      </w:r>
      <w:r>
        <w:rPr>
          <w:rFonts w:hint="eastAsia" w:ascii="仿宋_GB2312" w:eastAsia="仿宋_GB2312"/>
          <w:color w:val="auto"/>
          <w:sz w:val="30"/>
          <w:szCs w:val="24"/>
          <w:highlight w:val="none"/>
          <w:lang w:val="en-US" w:eastAsia="zh-CN"/>
        </w:rPr>
        <w:t>0</w:t>
      </w:r>
      <w:r>
        <w:rPr>
          <w:rFonts w:hint="eastAsia" w:ascii="仿宋_GB2312" w:eastAsia="仿宋_GB2312"/>
          <w:color w:val="auto"/>
          <w:sz w:val="30"/>
          <w:szCs w:val="24"/>
          <w:highlight w:val="none"/>
        </w:rPr>
        <w:t>万元</w:t>
      </w:r>
      <w:r>
        <w:rPr>
          <w:rFonts w:hint="eastAsia" w:ascii="仿宋_GB2312" w:eastAsia="仿宋_GB2312"/>
          <w:color w:val="auto"/>
          <w:sz w:val="30"/>
          <w:szCs w:val="24"/>
          <w:highlight w:val="none"/>
          <w:lang w:eastAsia="zh-CN"/>
        </w:rPr>
        <w:t>，</w:t>
      </w:r>
      <w:r>
        <w:rPr>
          <w:rFonts w:hint="eastAsia" w:ascii="仿宋_GB2312" w:eastAsia="仿宋_GB2312"/>
          <w:color w:val="auto"/>
          <w:sz w:val="30"/>
          <w:szCs w:val="24"/>
          <w:highlight w:val="none"/>
        </w:rPr>
        <w:t>项目总体目标完成</w:t>
      </w:r>
      <w:r>
        <w:rPr>
          <w:rFonts w:hint="eastAsia" w:ascii="仿宋_GB2312" w:eastAsia="仿宋_GB2312"/>
          <w:color w:val="auto"/>
          <w:sz w:val="30"/>
          <w:szCs w:val="24"/>
          <w:highlight w:val="none"/>
          <w:lang w:val="en-US" w:eastAsia="zh-CN"/>
        </w:rPr>
        <w:t>100</w:t>
      </w:r>
      <w:r>
        <w:rPr>
          <w:rFonts w:hint="eastAsia" w:ascii="仿宋_GB2312" w:eastAsia="仿宋_GB2312"/>
          <w:color w:val="auto"/>
          <w:sz w:val="30"/>
          <w:szCs w:val="24"/>
          <w:highlight w:val="none"/>
        </w:rPr>
        <w:t>%。</w:t>
      </w:r>
    </w:p>
    <w:p>
      <w:pPr>
        <w:spacing w:line="600" w:lineRule="exact"/>
        <w:ind w:left="420" w:left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4、资金投入情况</w:t>
      </w:r>
    </w:p>
    <w:p>
      <w:pPr>
        <w:spacing w:line="600" w:lineRule="exact"/>
        <w:ind w:firstLine="600" w:firstLineChars="200"/>
        <w:outlineLvl w:val="0"/>
        <w:rPr>
          <w:rFonts w:hint="eastAsia" w:ascii="仿宋_GB2312" w:eastAsia="仿宋_GB2312"/>
          <w:color w:val="auto"/>
          <w:sz w:val="30"/>
          <w:szCs w:val="24"/>
          <w:highlight w:val="none"/>
        </w:rPr>
      </w:pPr>
      <w:r>
        <w:rPr>
          <w:rFonts w:hint="eastAsia" w:ascii="仿宋_GB2312" w:eastAsia="仿宋_GB2312"/>
          <w:color w:val="auto"/>
          <w:sz w:val="30"/>
          <w:szCs w:val="24"/>
          <w:highlight w:val="none"/>
        </w:rPr>
        <w:t>20</w:t>
      </w:r>
      <w:r>
        <w:rPr>
          <w:rFonts w:hint="eastAsia" w:ascii="仿宋_GB2312" w:eastAsia="仿宋_GB2312"/>
          <w:color w:val="auto"/>
          <w:sz w:val="30"/>
          <w:szCs w:val="24"/>
          <w:highlight w:val="none"/>
          <w:lang w:val="en-US" w:eastAsia="zh-CN"/>
        </w:rPr>
        <w:t>20</w:t>
      </w:r>
      <w:r>
        <w:rPr>
          <w:rFonts w:hint="eastAsia" w:ascii="仿宋_GB2312" w:eastAsia="仿宋_GB2312"/>
          <w:color w:val="auto"/>
          <w:sz w:val="30"/>
          <w:szCs w:val="24"/>
          <w:highlight w:val="none"/>
        </w:rPr>
        <w:t>年度乌尔禾区人民政府办公室的网站建设经费预算</w:t>
      </w:r>
      <w:r>
        <w:rPr>
          <w:rFonts w:hint="eastAsia" w:ascii="仿宋_GB2312" w:eastAsia="仿宋_GB2312"/>
          <w:color w:val="auto"/>
          <w:sz w:val="30"/>
          <w:szCs w:val="24"/>
          <w:highlight w:val="none"/>
          <w:lang w:val="en-US" w:eastAsia="zh-CN"/>
        </w:rPr>
        <w:t>10</w:t>
      </w:r>
      <w:r>
        <w:rPr>
          <w:rFonts w:hint="eastAsia" w:ascii="仿宋_GB2312" w:eastAsia="仿宋_GB2312"/>
          <w:color w:val="auto"/>
          <w:sz w:val="30"/>
          <w:szCs w:val="24"/>
          <w:highlight w:val="none"/>
        </w:rPr>
        <w:t>万元。全年实际到位财政资金共</w:t>
      </w:r>
      <w:r>
        <w:rPr>
          <w:rFonts w:hint="eastAsia" w:ascii="仿宋_GB2312" w:eastAsia="仿宋_GB2312"/>
          <w:color w:val="auto"/>
          <w:sz w:val="30"/>
          <w:szCs w:val="24"/>
          <w:highlight w:val="none"/>
          <w:lang w:val="en-US" w:eastAsia="zh-CN"/>
        </w:rPr>
        <w:t>10</w:t>
      </w:r>
      <w:r>
        <w:rPr>
          <w:rFonts w:hint="eastAsia" w:ascii="仿宋_GB2312" w:eastAsia="仿宋_GB2312"/>
          <w:color w:val="auto"/>
          <w:sz w:val="30"/>
          <w:szCs w:val="24"/>
          <w:highlight w:val="none"/>
        </w:rPr>
        <w:t>万元。</w:t>
      </w:r>
    </w:p>
    <w:p>
      <w:pPr>
        <w:numPr>
          <w:ilvl w:val="0"/>
          <w:numId w:val="1"/>
        </w:num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资金使用情况</w:t>
      </w:r>
    </w:p>
    <w:p>
      <w:pPr>
        <w:spacing w:line="600" w:lineRule="exact"/>
        <w:ind w:firstLine="600" w:firstLineChars="200"/>
        <w:outlineLvl w:val="0"/>
        <w:rPr>
          <w:rFonts w:hint="eastAsia" w:ascii="仿宋_GB2312" w:eastAsia="仿宋_GB2312"/>
          <w:color w:val="auto"/>
          <w:sz w:val="30"/>
          <w:szCs w:val="24"/>
          <w:highlight w:val="none"/>
        </w:rPr>
      </w:pPr>
      <w:r>
        <w:rPr>
          <w:rFonts w:hint="eastAsia" w:ascii="仿宋_GB2312" w:eastAsia="仿宋_GB2312"/>
          <w:color w:val="auto"/>
          <w:sz w:val="30"/>
          <w:szCs w:val="24"/>
          <w:highlight w:val="none"/>
        </w:rPr>
        <w:t>20</w:t>
      </w:r>
      <w:r>
        <w:rPr>
          <w:rFonts w:hint="eastAsia" w:ascii="仿宋_GB2312" w:eastAsia="仿宋_GB2312"/>
          <w:color w:val="auto"/>
          <w:sz w:val="30"/>
          <w:szCs w:val="24"/>
          <w:highlight w:val="none"/>
          <w:lang w:val="en-US" w:eastAsia="zh-CN"/>
        </w:rPr>
        <w:t>20</w:t>
      </w:r>
      <w:r>
        <w:rPr>
          <w:rFonts w:hint="eastAsia" w:ascii="仿宋_GB2312" w:eastAsia="仿宋_GB2312"/>
          <w:color w:val="auto"/>
          <w:sz w:val="30"/>
          <w:szCs w:val="24"/>
          <w:highlight w:val="none"/>
        </w:rPr>
        <w:t>年度乌尔禾区人民政府办公室的网站建设经费共计</w:t>
      </w:r>
      <w:r>
        <w:rPr>
          <w:rFonts w:hint="eastAsia" w:ascii="仿宋_GB2312" w:eastAsia="仿宋_GB2312"/>
          <w:color w:val="auto"/>
          <w:sz w:val="30"/>
          <w:szCs w:val="24"/>
          <w:highlight w:val="none"/>
          <w:lang w:val="en-US" w:eastAsia="zh-CN"/>
        </w:rPr>
        <w:t>10</w:t>
      </w:r>
      <w:r>
        <w:rPr>
          <w:rFonts w:hint="eastAsia" w:ascii="仿宋_GB2312" w:eastAsia="仿宋_GB2312"/>
          <w:color w:val="auto"/>
          <w:sz w:val="30"/>
          <w:szCs w:val="24"/>
          <w:highlight w:val="none"/>
        </w:rPr>
        <w:t>万元。截止20</w:t>
      </w:r>
      <w:r>
        <w:rPr>
          <w:rFonts w:hint="eastAsia" w:ascii="仿宋_GB2312" w:eastAsia="仿宋_GB2312"/>
          <w:color w:val="auto"/>
          <w:sz w:val="30"/>
          <w:szCs w:val="24"/>
          <w:highlight w:val="none"/>
          <w:lang w:val="en-US" w:eastAsia="zh-CN"/>
        </w:rPr>
        <w:t>20</w:t>
      </w:r>
      <w:r>
        <w:rPr>
          <w:rFonts w:hint="eastAsia" w:ascii="仿宋_GB2312" w:eastAsia="仿宋_GB2312"/>
          <w:color w:val="auto"/>
          <w:sz w:val="30"/>
          <w:szCs w:val="24"/>
          <w:highlight w:val="none"/>
        </w:rPr>
        <w:t>年12月31日,项目实际使用资金1</w:t>
      </w:r>
      <w:r>
        <w:rPr>
          <w:rFonts w:hint="eastAsia" w:ascii="仿宋_GB2312" w:eastAsia="仿宋_GB2312"/>
          <w:color w:val="auto"/>
          <w:sz w:val="30"/>
          <w:szCs w:val="24"/>
          <w:highlight w:val="none"/>
          <w:lang w:val="en-US" w:eastAsia="zh-CN"/>
        </w:rPr>
        <w:t>0</w:t>
      </w:r>
      <w:r>
        <w:rPr>
          <w:rFonts w:hint="eastAsia" w:ascii="仿宋_GB2312" w:eastAsia="仿宋_GB2312"/>
          <w:color w:val="auto"/>
          <w:sz w:val="30"/>
          <w:szCs w:val="24"/>
          <w:highlight w:val="none"/>
        </w:rPr>
        <w:t>万元，全部用于网站建设相关业务委托及咨询服务，资金执行率达到了</w:t>
      </w:r>
      <w:r>
        <w:rPr>
          <w:rFonts w:hint="eastAsia" w:ascii="仿宋_GB2312" w:eastAsia="仿宋_GB2312"/>
          <w:color w:val="auto"/>
          <w:sz w:val="30"/>
          <w:szCs w:val="24"/>
          <w:highlight w:val="none"/>
          <w:lang w:val="en-US" w:eastAsia="zh-CN"/>
        </w:rPr>
        <w:t>100</w:t>
      </w:r>
      <w:r>
        <w:rPr>
          <w:rFonts w:hint="eastAsia" w:ascii="仿宋_GB2312" w:eastAsia="仿宋_GB2312"/>
          <w:color w:val="auto"/>
          <w:sz w:val="30"/>
          <w:szCs w:val="24"/>
          <w:highlight w:val="none"/>
        </w:rPr>
        <w:t>%,结余经费</w:t>
      </w:r>
      <w:r>
        <w:rPr>
          <w:rFonts w:hint="eastAsia" w:ascii="仿宋_GB2312" w:eastAsia="仿宋_GB2312"/>
          <w:color w:val="auto"/>
          <w:sz w:val="30"/>
          <w:szCs w:val="24"/>
          <w:highlight w:val="none"/>
          <w:lang w:val="en-US" w:eastAsia="zh-CN"/>
        </w:rPr>
        <w:t>0</w:t>
      </w:r>
      <w:r>
        <w:rPr>
          <w:rFonts w:hint="eastAsia" w:ascii="仿宋_GB2312" w:eastAsia="仿宋_GB2312"/>
          <w:color w:val="auto"/>
          <w:sz w:val="30"/>
          <w:szCs w:val="24"/>
          <w:highlight w:val="none"/>
        </w:rPr>
        <w:t>万元。资金使用情况如下：</w:t>
      </w:r>
    </w:p>
    <w:p>
      <w:pPr>
        <w:spacing w:line="600" w:lineRule="exact"/>
        <w:ind w:firstLine="600" w:firstLineChars="200"/>
        <w:outlineLvl w:val="0"/>
        <w:rPr>
          <w:rFonts w:hint="eastAsia" w:ascii="仿宋_GB2312" w:hAnsi="Times New Roman" w:eastAsia="仿宋_GB2312" w:cs="Times New Roman"/>
          <w:sz w:val="30"/>
          <w:szCs w:val="24"/>
        </w:rPr>
      </w:pPr>
      <w:bookmarkStart w:id="0" w:name="bookmark49"/>
      <w:bookmarkEnd w:id="0"/>
      <w:r>
        <w:rPr>
          <w:rFonts w:hint="eastAsia" w:ascii="仿宋_GB2312" w:eastAsia="仿宋_GB2312"/>
          <w:color w:val="auto"/>
          <w:sz w:val="30"/>
          <w:szCs w:val="24"/>
          <w:highlight w:val="none"/>
        </w:rPr>
        <w:t>①网站建设经费项目</w:t>
      </w:r>
      <w:r>
        <w:rPr>
          <w:rFonts w:hint="eastAsia" w:ascii="仿宋_GB2312" w:eastAsia="仿宋_GB2312"/>
          <w:color w:val="auto"/>
          <w:sz w:val="30"/>
          <w:szCs w:val="24"/>
          <w:highlight w:val="none"/>
          <w:lang w:val="en-US" w:eastAsia="zh-CN"/>
        </w:rPr>
        <w:t>1</w:t>
      </w:r>
      <w:r>
        <w:rPr>
          <w:rFonts w:hint="eastAsia" w:ascii="仿宋_GB2312" w:eastAsia="仿宋_GB2312"/>
          <w:color w:val="auto"/>
          <w:sz w:val="30"/>
          <w:szCs w:val="24"/>
          <w:highlight w:val="none"/>
        </w:rPr>
        <w:t>个</w:t>
      </w:r>
      <w:r>
        <w:rPr>
          <w:rFonts w:hint="eastAsia" w:ascii="仿宋_GB2312" w:hAnsi="Times New Roman" w:eastAsia="仿宋_GB2312" w:cs="Times New Roman"/>
          <w:sz w:val="30"/>
          <w:szCs w:val="24"/>
        </w:rPr>
        <w:t>，共拨</w:t>
      </w:r>
      <w:r>
        <w:rPr>
          <w:rFonts w:hint="eastAsia" w:ascii="仿宋_GB2312" w:hAnsi="Times New Roman" w:eastAsia="仿宋_GB2312" w:cs="Times New Roman"/>
          <w:sz w:val="30"/>
          <w:szCs w:val="24"/>
          <w:lang w:eastAsia="zh-CN"/>
        </w:rPr>
        <w:t>付</w:t>
      </w:r>
      <w:r>
        <w:rPr>
          <w:rFonts w:hint="eastAsia" w:ascii="仿宋_GB2312" w:hAnsi="Times New Roman" w:eastAsia="仿宋_GB2312" w:cs="Times New Roman"/>
          <w:sz w:val="30"/>
          <w:szCs w:val="24"/>
          <w:lang w:val="en-US" w:eastAsia="zh-CN"/>
        </w:rPr>
        <w:t>10</w:t>
      </w:r>
      <w:r>
        <w:rPr>
          <w:rFonts w:hint="eastAsia" w:ascii="仿宋_GB2312" w:hAnsi="Times New Roman" w:eastAsia="仿宋_GB2312" w:cs="Times New Roman"/>
          <w:sz w:val="30"/>
          <w:szCs w:val="24"/>
        </w:rPr>
        <w:t>万元。</w:t>
      </w:r>
    </w:p>
    <w:p>
      <w:pPr>
        <w:numPr>
          <w:ilvl w:val="0"/>
          <w:numId w:val="2"/>
        </w:numPr>
        <w:spacing w:line="600" w:lineRule="exact"/>
        <w:ind w:firstLine="600" w:firstLineChars="200"/>
        <w:rPr>
          <w:rFonts w:ascii="仿宋_GB2312" w:eastAsia="仿宋_GB2312"/>
          <w:color w:val="auto"/>
          <w:sz w:val="30"/>
          <w:szCs w:val="24"/>
          <w:highlight w:val="none"/>
        </w:rPr>
      </w:pPr>
      <w:bookmarkStart w:id="1" w:name="bookmark50"/>
      <w:bookmarkEnd w:id="1"/>
      <w:bookmarkStart w:id="2" w:name="bookmark51"/>
      <w:bookmarkEnd w:id="2"/>
      <w:r>
        <w:rPr>
          <w:rFonts w:hint="eastAsia" w:ascii="仿宋_GB2312" w:eastAsia="仿宋_GB2312"/>
          <w:color w:val="auto"/>
          <w:sz w:val="30"/>
          <w:szCs w:val="24"/>
          <w:highlight w:val="none"/>
        </w:rPr>
        <w:t>项目绩效目标</w:t>
      </w:r>
    </w:p>
    <w:p>
      <w:pPr>
        <w:numPr>
          <w:ilvl w:val="0"/>
          <w:numId w:val="3"/>
        </w:numPr>
        <w:spacing w:line="600" w:lineRule="exact"/>
        <w:ind w:firstLine="600" w:firstLineChars="200"/>
        <w:rPr>
          <w:rFonts w:ascii="仿宋_GB2312" w:eastAsia="仿宋_GB2312"/>
          <w:color w:val="auto"/>
          <w:sz w:val="30"/>
          <w:szCs w:val="24"/>
          <w:highlight w:val="none"/>
        </w:rPr>
      </w:pPr>
      <w:r>
        <w:rPr>
          <w:rFonts w:hint="eastAsia" w:ascii="仿宋_GB2312" w:eastAsia="仿宋_GB2312"/>
          <w:color w:val="auto"/>
          <w:sz w:val="30"/>
          <w:szCs w:val="24"/>
          <w:highlight w:val="none"/>
        </w:rPr>
        <w:t>总体目标</w:t>
      </w:r>
    </w:p>
    <w:p>
      <w:pPr>
        <w:spacing w:line="600" w:lineRule="exact"/>
        <w:ind w:firstLine="600" w:firstLineChars="200"/>
        <w:outlineLvl w:val="0"/>
        <w:rPr>
          <w:rFonts w:hint="eastAsia" w:ascii="仿宋_GB2312" w:eastAsia="仿宋_GB2312"/>
          <w:color w:val="auto"/>
          <w:sz w:val="30"/>
          <w:szCs w:val="24"/>
          <w:highlight w:val="none"/>
        </w:rPr>
      </w:pPr>
      <w:r>
        <w:rPr>
          <w:rFonts w:hint="eastAsia" w:ascii="仿宋_GB2312" w:eastAsia="仿宋_GB2312"/>
          <w:color w:val="auto"/>
          <w:sz w:val="30"/>
          <w:szCs w:val="24"/>
          <w:highlight w:val="none"/>
        </w:rPr>
        <w:t>通过持续加大网站建设业务资金投入，做好财政监督监控及咨询服务，通过持续加大</w:t>
      </w:r>
      <w:r>
        <w:rPr>
          <w:rFonts w:hint="eastAsia" w:ascii="仿宋_GB2312" w:eastAsia="仿宋_GB2312"/>
          <w:color w:val="auto"/>
          <w:sz w:val="30"/>
          <w:szCs w:val="24"/>
          <w:highlight w:val="none"/>
          <w:lang w:eastAsia="zh-CN"/>
        </w:rPr>
        <w:t>网站经费</w:t>
      </w:r>
      <w:r>
        <w:rPr>
          <w:rFonts w:hint="eastAsia" w:ascii="仿宋_GB2312" w:eastAsia="仿宋_GB2312"/>
          <w:color w:val="auto"/>
          <w:sz w:val="30"/>
          <w:szCs w:val="24"/>
          <w:highlight w:val="none"/>
        </w:rPr>
        <w:t>投入，引导企业开展技术研究与开发活动，激发科研人员积极性，促进区域创新能力提升，支撑经济社会可持续发展。围绕全市产业发展的重点，做好20</w:t>
      </w:r>
      <w:r>
        <w:rPr>
          <w:rFonts w:hint="eastAsia" w:ascii="仿宋_GB2312" w:eastAsia="仿宋_GB2312"/>
          <w:color w:val="auto"/>
          <w:sz w:val="30"/>
          <w:szCs w:val="24"/>
          <w:highlight w:val="none"/>
          <w:lang w:val="en-US" w:eastAsia="zh-CN"/>
        </w:rPr>
        <w:t>20</w:t>
      </w:r>
      <w:r>
        <w:rPr>
          <w:rFonts w:hint="eastAsia" w:ascii="仿宋_GB2312" w:eastAsia="仿宋_GB2312"/>
          <w:color w:val="auto"/>
          <w:sz w:val="30"/>
          <w:szCs w:val="24"/>
          <w:highlight w:val="none"/>
        </w:rPr>
        <w:t>年新发展计划项目的立项以及重大专项的支持工作，做好全区20</w:t>
      </w:r>
      <w:r>
        <w:rPr>
          <w:rFonts w:hint="eastAsia" w:ascii="仿宋_GB2312" w:eastAsia="仿宋_GB2312"/>
          <w:color w:val="auto"/>
          <w:sz w:val="30"/>
          <w:szCs w:val="24"/>
          <w:highlight w:val="none"/>
          <w:lang w:val="en-US" w:eastAsia="zh-CN"/>
        </w:rPr>
        <w:t>20</w:t>
      </w:r>
      <w:r>
        <w:rPr>
          <w:rFonts w:hint="eastAsia" w:ascii="仿宋_GB2312" w:eastAsia="仿宋_GB2312"/>
          <w:color w:val="auto"/>
          <w:sz w:val="30"/>
          <w:szCs w:val="24"/>
          <w:highlight w:val="none"/>
        </w:rPr>
        <w:t>年相关网站建设经费业务工作。</w:t>
      </w:r>
    </w:p>
    <w:p>
      <w:pPr>
        <w:numPr>
          <w:ilvl w:val="0"/>
          <w:numId w:val="3"/>
        </w:numPr>
        <w:spacing w:line="600" w:lineRule="exact"/>
        <w:ind w:firstLine="600" w:firstLineChars="200"/>
        <w:rPr>
          <w:rFonts w:ascii="仿宋_GB2312" w:eastAsia="仿宋_GB2312"/>
          <w:color w:val="auto"/>
          <w:sz w:val="30"/>
          <w:szCs w:val="24"/>
          <w:highlight w:val="none"/>
        </w:rPr>
      </w:pPr>
      <w:r>
        <w:rPr>
          <w:rFonts w:hint="eastAsia" w:ascii="仿宋_GB2312" w:eastAsia="仿宋_GB2312"/>
          <w:color w:val="auto"/>
          <w:sz w:val="30"/>
          <w:szCs w:val="24"/>
          <w:highlight w:val="none"/>
        </w:rPr>
        <w:t>阶段性目标</w:t>
      </w:r>
    </w:p>
    <w:p>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优化政府门户网站功能，实现资源整合、在线服务、信息公开、民主参与的功能。通过不断优化政府网站功能，促进政务信息公开，提高政务公开透明度和人民群众满意度。</w:t>
      </w:r>
    </w:p>
    <w:p>
      <w:pPr>
        <w:spacing w:line="600" w:lineRule="exact"/>
        <w:ind w:firstLine="600" w:firstLineChars="200"/>
        <w:rPr>
          <w:rFonts w:hint="eastAsia" w:ascii="黑体" w:hAnsi="黑体" w:eastAsia="黑体" w:cs="Times New Roman"/>
          <w:sz w:val="30"/>
          <w:szCs w:val="24"/>
          <w:highlight w:val="none"/>
        </w:rPr>
      </w:pPr>
      <w:r>
        <w:rPr>
          <w:rFonts w:hint="eastAsia" w:ascii="黑体" w:hAnsi="黑体" w:eastAsia="黑体" w:cs="Times New Roman"/>
          <w:sz w:val="30"/>
          <w:szCs w:val="24"/>
          <w:highlight w:val="none"/>
        </w:rPr>
        <w:t>二、绩效评价工作开展情况</w:t>
      </w:r>
    </w:p>
    <w:p>
      <w:pPr>
        <w:spacing w:line="600" w:lineRule="exact"/>
        <w:ind w:firstLine="600" w:firstLineChars="200"/>
        <w:rPr>
          <w:rFonts w:ascii="仿宋_GB2312" w:eastAsia="仿宋_GB2312"/>
          <w:color w:val="auto"/>
          <w:sz w:val="30"/>
          <w:szCs w:val="24"/>
          <w:highlight w:val="none"/>
        </w:rPr>
      </w:pPr>
      <w:r>
        <w:rPr>
          <w:rFonts w:hint="eastAsia" w:ascii="仿宋_GB2312" w:eastAsia="仿宋_GB2312"/>
          <w:color w:val="auto"/>
          <w:sz w:val="30"/>
          <w:szCs w:val="24"/>
          <w:highlight w:val="none"/>
        </w:rPr>
        <w:t>（一）绩效评价目的、对象和范围。</w:t>
      </w:r>
    </w:p>
    <w:p>
      <w:pPr>
        <w:pStyle w:val="18"/>
        <w:ind w:firstLine="600"/>
        <w:rPr>
          <w:rFonts w:ascii="仿宋_GB2312" w:hAnsi="Calibri"/>
          <w:color w:val="auto"/>
          <w:kern w:val="2"/>
          <w:sz w:val="30"/>
          <w:szCs w:val="24"/>
          <w:highlight w:val="none"/>
        </w:rPr>
      </w:pPr>
      <w:r>
        <w:rPr>
          <w:rFonts w:hint="eastAsia" w:ascii="仿宋_GB2312" w:hAnsi="Calibri"/>
          <w:color w:val="auto"/>
          <w:kern w:val="2"/>
          <w:sz w:val="30"/>
          <w:szCs w:val="24"/>
          <w:highlight w:val="none"/>
        </w:rPr>
        <w:t>1、绩效评价目的</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hint="eastAsia" w:ascii="仿宋_GB2312" w:hAnsi="Calibri" w:eastAsia="仿宋_GB2312" w:cs="Times New Roman"/>
          <w:color w:val="auto"/>
          <w:szCs w:val="24"/>
          <w:highlight w:val="none"/>
          <w:lang w:val="en-US" w:eastAsia="zh-CN" w:bidi="ar-SA"/>
        </w:rPr>
        <w:t>通过绩效评价，客观地评判项目的管理绩效，了解和掌握网站建设经费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hint="eastAsia" w:ascii="仿宋_GB2312" w:hAnsi="Calibri" w:eastAsia="仿宋_GB2312" w:cs="Times New Roman"/>
          <w:color w:val="auto"/>
          <w:szCs w:val="24"/>
          <w:highlight w:val="none"/>
          <w:lang w:val="en-US" w:eastAsia="zh-CN" w:bidi="ar-SA"/>
        </w:rPr>
        <w:t>同时将绩效评价结果与项目预算挂钩，为下年度专项资金的使用提供决策参考，进一步提高专项资金的使用效益及配置效率，实现财政资源配置效益与效率最大化。</w:t>
      </w:r>
    </w:p>
    <w:p>
      <w:pPr>
        <w:pStyle w:val="18"/>
        <w:keepNext w:val="0"/>
        <w:keepLines w:val="0"/>
        <w:pageBreakBefore w:val="0"/>
        <w:widowControl w:val="0"/>
        <w:kinsoku/>
        <w:wordWrap/>
        <w:overflowPunct/>
        <w:topLinePunct w:val="0"/>
        <w:autoSpaceDE/>
        <w:autoSpaceDN/>
        <w:bidi w:val="0"/>
        <w:adjustRightInd/>
        <w:snapToGrid/>
        <w:spacing w:line="560" w:lineRule="exact"/>
        <w:ind w:left="420" w:leftChars="200" w:firstLine="0" w:firstLineChars="0"/>
        <w:textAlignment w:val="auto"/>
        <w:rPr>
          <w:rFonts w:ascii="仿宋_GB2312" w:hAnsi="Calibri"/>
          <w:color w:val="auto"/>
          <w:kern w:val="2"/>
          <w:sz w:val="30"/>
          <w:szCs w:val="24"/>
          <w:highlight w:val="none"/>
        </w:rPr>
      </w:pPr>
      <w:r>
        <w:rPr>
          <w:rFonts w:hint="eastAsia" w:ascii="仿宋_GB2312" w:hAnsi="Calibri"/>
          <w:color w:val="auto"/>
          <w:kern w:val="2"/>
          <w:sz w:val="30"/>
          <w:szCs w:val="24"/>
          <w:highlight w:val="none"/>
        </w:rPr>
        <w:t>2、绩效评价对象</w:t>
      </w:r>
    </w:p>
    <w:p>
      <w:pPr>
        <w:pStyle w:val="18"/>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仿宋_GB2312" w:hAnsi="Calibri"/>
          <w:color w:val="auto"/>
          <w:kern w:val="2"/>
          <w:sz w:val="30"/>
          <w:szCs w:val="24"/>
          <w:highlight w:val="none"/>
        </w:rPr>
      </w:pPr>
      <w:r>
        <w:rPr>
          <w:rFonts w:hint="eastAsia" w:ascii="仿宋_GB2312" w:hAnsi="Calibri"/>
          <w:color w:val="auto"/>
          <w:kern w:val="2"/>
          <w:sz w:val="30"/>
          <w:szCs w:val="24"/>
          <w:highlight w:val="none"/>
        </w:rPr>
        <w:t>对</w:t>
      </w:r>
      <w:r>
        <w:rPr>
          <w:rFonts w:hint="eastAsia" w:ascii="仿宋_GB2312" w:hAnsi="Calibri" w:eastAsia="仿宋_GB2312" w:cs="Times New Roman"/>
          <w:color w:val="auto"/>
          <w:kern w:val="2"/>
          <w:sz w:val="30"/>
          <w:szCs w:val="24"/>
          <w:highlight w:val="none"/>
          <w:lang w:val="en-US" w:eastAsia="zh-CN" w:bidi="ar-SA"/>
        </w:rPr>
        <w:t>网站建设经费</w:t>
      </w:r>
      <w:r>
        <w:rPr>
          <w:rFonts w:hint="eastAsia" w:ascii="仿宋_GB2312" w:hAnsi="Calibri"/>
          <w:color w:val="auto"/>
          <w:kern w:val="2"/>
          <w:sz w:val="30"/>
          <w:szCs w:val="24"/>
          <w:highlight w:val="none"/>
        </w:rPr>
        <w:t>从预算编制合理性、资金使用合规性、项目管理的规范性、实施情况、总体绩效目标、各项绩效指标完成情况以及预算执行情况进行科学性评价。</w:t>
      </w:r>
    </w:p>
    <w:p>
      <w:pPr>
        <w:pStyle w:val="18"/>
        <w:keepNext w:val="0"/>
        <w:keepLines w:val="0"/>
        <w:pageBreakBefore w:val="0"/>
        <w:widowControl w:val="0"/>
        <w:kinsoku/>
        <w:wordWrap/>
        <w:overflowPunct/>
        <w:topLinePunct w:val="0"/>
        <w:autoSpaceDE/>
        <w:autoSpaceDN/>
        <w:bidi w:val="0"/>
        <w:adjustRightInd/>
        <w:snapToGrid/>
        <w:spacing w:line="560" w:lineRule="exact"/>
        <w:ind w:left="420" w:leftChars="200" w:firstLine="0" w:firstLineChars="0"/>
        <w:textAlignment w:val="auto"/>
        <w:rPr>
          <w:rFonts w:ascii="仿宋_GB2312" w:hAnsi="Calibri"/>
          <w:color w:val="auto"/>
          <w:kern w:val="2"/>
          <w:sz w:val="30"/>
          <w:szCs w:val="24"/>
          <w:highlight w:val="none"/>
        </w:rPr>
      </w:pPr>
      <w:r>
        <w:rPr>
          <w:rFonts w:hint="eastAsia" w:ascii="仿宋_GB2312" w:hAnsi="Calibri"/>
          <w:color w:val="auto"/>
          <w:kern w:val="2"/>
          <w:sz w:val="30"/>
          <w:szCs w:val="24"/>
          <w:highlight w:val="none"/>
        </w:rPr>
        <w:t>3、绩效评价范围</w:t>
      </w:r>
    </w:p>
    <w:p>
      <w:pPr>
        <w:pStyle w:val="18"/>
        <w:keepNext w:val="0"/>
        <w:keepLines w:val="0"/>
        <w:pageBreakBefore w:val="0"/>
        <w:widowControl w:val="0"/>
        <w:kinsoku/>
        <w:wordWrap/>
        <w:overflowPunct/>
        <w:topLinePunct w:val="0"/>
        <w:autoSpaceDE/>
        <w:autoSpaceDN/>
        <w:bidi w:val="0"/>
        <w:adjustRightInd/>
        <w:snapToGrid/>
        <w:spacing w:line="560" w:lineRule="exact"/>
        <w:ind w:firstLine="750" w:firstLineChars="250"/>
        <w:textAlignment w:val="auto"/>
        <w:rPr>
          <w:rFonts w:ascii="仿宋_GB2312" w:hAnsi="Calibri"/>
          <w:color w:val="auto"/>
          <w:kern w:val="2"/>
          <w:sz w:val="30"/>
          <w:szCs w:val="24"/>
          <w:highlight w:val="none"/>
        </w:rPr>
      </w:pPr>
      <w:r>
        <w:rPr>
          <w:rFonts w:hint="eastAsia" w:ascii="仿宋_GB2312" w:hAnsi="Calibri"/>
          <w:color w:val="auto"/>
          <w:kern w:val="2"/>
          <w:sz w:val="30"/>
          <w:szCs w:val="24"/>
          <w:highlight w:val="none"/>
        </w:rPr>
        <w:t>本次评价从项目决策（包括绩效目标、决策过程）、项目管理（包括项目资金、项目实施）、项目产出（包括项目产出数量、产出质量、产出时效和产出成本）项目效益四个维度进行评价，评价对象为财政下达预算绩效管理信息化系统建设项目，评价核心为专项资金的支出完成情况和效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eastAsia="仿宋_GB2312"/>
          <w:color w:val="auto"/>
          <w:sz w:val="30"/>
          <w:szCs w:val="24"/>
          <w:highlight w:val="none"/>
        </w:rPr>
      </w:pPr>
      <w:r>
        <w:rPr>
          <w:rFonts w:hint="eastAsia" w:ascii="仿宋_GB2312" w:eastAsia="仿宋_GB2312"/>
          <w:color w:val="auto"/>
          <w:sz w:val="30"/>
          <w:szCs w:val="24"/>
          <w:highlight w:val="none"/>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585"/>
        <w:textAlignment w:val="auto"/>
        <w:rPr>
          <w:rFonts w:ascii="仿宋_GB2312" w:eastAsia="仿宋_GB2312"/>
          <w:color w:val="auto"/>
          <w:sz w:val="30"/>
          <w:szCs w:val="24"/>
          <w:highlight w:val="none"/>
        </w:rPr>
      </w:pPr>
      <w:r>
        <w:rPr>
          <w:rFonts w:hint="eastAsia" w:ascii="仿宋_GB2312" w:eastAsia="仿宋_GB2312"/>
          <w:color w:val="auto"/>
          <w:sz w:val="30"/>
          <w:szCs w:val="24"/>
          <w:highlight w:val="none"/>
        </w:rPr>
        <w:t>1、绩效评价原则</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坚持真实、科学、公正的原则。绩效评价应当严格执行规定的程序，按照科学可行的要求，采用定量与定性分析相结合的方法；绩效评价应当符合真实、客观、公正的要求，依法公开并接受监督。</w:t>
      </w:r>
    </w:p>
    <w:p>
      <w:pPr>
        <w:pStyle w:val="10"/>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1</w:t>
      </w:r>
      <w:r>
        <w:rPr>
          <w:rFonts w:ascii="仿宋_GB2312" w:hAnsi="Calibri" w:eastAsia="仿宋_GB2312" w:cs="Times New Roman"/>
          <w:color w:val="auto"/>
          <w:szCs w:val="24"/>
          <w:highlight w:val="none"/>
          <w:lang w:val="en-US" w:eastAsia="zh-CN" w:bidi="ar-SA"/>
        </w:rPr>
        <w:t>）普遍性原则：应符合</w:t>
      </w:r>
      <w:r>
        <w:rPr>
          <w:rFonts w:hint="eastAsia" w:ascii="仿宋_GB2312" w:hAnsi="Calibri" w:eastAsia="仿宋_GB2312" w:cs="Times New Roman"/>
          <w:color w:val="auto"/>
          <w:szCs w:val="24"/>
          <w:highlight w:val="none"/>
          <w:lang w:val="en-US" w:eastAsia="zh-CN" w:bidi="ar-SA"/>
        </w:rPr>
        <w:t>乌尔禾区政府办</w:t>
      </w:r>
      <w:r>
        <w:rPr>
          <w:rFonts w:ascii="仿宋_GB2312" w:hAnsi="Calibri" w:eastAsia="仿宋_GB2312" w:cs="Times New Roman"/>
          <w:color w:val="auto"/>
          <w:szCs w:val="24"/>
          <w:highlight w:val="none"/>
          <w:lang w:val="en-US" w:eastAsia="zh-CN" w:bidi="ar-SA"/>
        </w:rPr>
        <w:t>的工作性质和要求，具有普遍的适用性。</w:t>
      </w:r>
    </w:p>
    <w:p>
      <w:pPr>
        <w:pStyle w:val="10"/>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2</w:t>
      </w:r>
      <w:r>
        <w:rPr>
          <w:rFonts w:ascii="仿宋_GB2312" w:hAnsi="Calibri" w:eastAsia="仿宋_GB2312" w:cs="Times New Roman"/>
          <w:color w:val="auto"/>
          <w:szCs w:val="24"/>
          <w:highlight w:val="none"/>
          <w:lang w:val="en-US" w:eastAsia="zh-CN" w:bidi="ar-SA"/>
        </w:rPr>
        <w:t>）经济实用原则：依据现实条件及可操作性，获得相关数据的成本，避免由于数据搜集复杂或者分布广泛而导致绩效评价费用过高，力求简便易行，便于理解和操作，节约评价工作成本。</w:t>
      </w:r>
    </w:p>
    <w:p>
      <w:pPr>
        <w:pStyle w:val="10"/>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3</w:t>
      </w:r>
      <w:r>
        <w:rPr>
          <w:rFonts w:ascii="仿宋_GB2312" w:hAnsi="Calibri" w:eastAsia="仿宋_GB2312" w:cs="Times New Roman"/>
          <w:color w:val="auto"/>
          <w:szCs w:val="24"/>
          <w:highlight w:val="none"/>
          <w:lang w:val="en-US" w:eastAsia="zh-CN" w:bidi="ar-SA"/>
        </w:rPr>
        <w:t>）适量原则：要科学、准确、合理，绩效目标不能过高过低，脱离免费开放工作实际。</w:t>
      </w:r>
    </w:p>
    <w:p>
      <w:pPr>
        <w:pStyle w:val="10"/>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4</w:t>
      </w:r>
      <w:r>
        <w:rPr>
          <w:rFonts w:ascii="仿宋_GB2312" w:hAnsi="Calibri" w:eastAsia="仿宋_GB2312" w:cs="Times New Roman"/>
          <w:color w:val="auto"/>
          <w:szCs w:val="24"/>
          <w:highlight w:val="none"/>
          <w:lang w:val="en-US" w:eastAsia="zh-CN" w:bidi="ar-SA"/>
        </w:rPr>
        <w:t>）重要性原则：在选择指标的过程中，要根据指标在整个绩效评价体系中的地位和作用进行筛选，选择最具代表性、最能反映评价要求的指标。</w:t>
      </w:r>
    </w:p>
    <w:p>
      <w:pPr>
        <w:pStyle w:val="10"/>
        <w:keepNext w:val="0"/>
        <w:keepLines w:val="0"/>
        <w:pageBreakBefore w:val="0"/>
        <w:widowControl w:val="0"/>
        <w:tabs>
          <w:tab w:val="left" w:pos="48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5</w:t>
      </w:r>
      <w:r>
        <w:rPr>
          <w:rFonts w:ascii="仿宋_GB2312" w:hAnsi="Calibri" w:eastAsia="仿宋_GB2312" w:cs="Times New Roman"/>
          <w:color w:val="auto"/>
          <w:szCs w:val="24"/>
          <w:highlight w:val="none"/>
          <w:lang w:val="en-US" w:eastAsia="zh-CN" w:bidi="ar-SA"/>
        </w:rPr>
        <w:t>）可比性原则：要保证评价结果可以在其他省</w:t>
      </w:r>
      <w:r>
        <w:rPr>
          <w:rFonts w:hint="eastAsia" w:ascii="仿宋_GB2312" w:hAnsi="Calibri" w:eastAsia="仿宋_GB2312" w:cs="Times New Roman"/>
          <w:color w:val="auto"/>
          <w:szCs w:val="24"/>
          <w:highlight w:val="none"/>
          <w:lang w:val="en-US" w:eastAsia="zh-CN" w:bidi="ar-SA"/>
        </w:rPr>
        <w:t>区</w:t>
      </w:r>
      <w:r>
        <w:rPr>
          <w:rFonts w:ascii="仿宋_GB2312" w:hAnsi="Calibri" w:eastAsia="仿宋_GB2312" w:cs="Times New Roman"/>
          <w:color w:val="auto"/>
          <w:szCs w:val="24"/>
          <w:highlight w:val="none"/>
          <w:lang w:val="en-US" w:eastAsia="zh-CN" w:bidi="ar-SA"/>
        </w:rPr>
        <w:t>之间比较和借鉴。</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6</w:t>
      </w:r>
      <w:r>
        <w:rPr>
          <w:rFonts w:ascii="仿宋_GB2312" w:hAnsi="Calibri" w:eastAsia="仿宋_GB2312" w:cs="Times New Roman"/>
          <w:color w:val="auto"/>
          <w:szCs w:val="24"/>
          <w:highlight w:val="none"/>
          <w:lang w:val="en-US" w:eastAsia="zh-CN" w:bidi="ar-SA"/>
        </w:rPr>
        <w:t>）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hint="eastAsia" w:ascii="仿宋_GB2312" w:hAnsi="Calibri" w:eastAsia="仿宋_GB2312" w:cs="Times New Roman"/>
          <w:color w:val="auto"/>
          <w:szCs w:val="24"/>
          <w:highlight w:val="none"/>
          <w:lang w:val="en-US" w:eastAsia="zh-CN" w:bidi="ar-SA"/>
        </w:rPr>
        <w:t>2、绩效评价指标体系</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绩效评价指标的确定遵循以下原则：</w:t>
      </w:r>
      <w:bookmarkStart w:id="3" w:name="bookmark71"/>
      <w:bookmarkEnd w:id="3"/>
    </w:p>
    <w:p>
      <w:pPr>
        <w:pStyle w:val="10"/>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1</w:t>
      </w:r>
      <w:r>
        <w:rPr>
          <w:rFonts w:ascii="仿宋_GB2312" w:hAnsi="Calibri" w:eastAsia="仿宋_GB2312" w:cs="Times New Roman"/>
          <w:color w:val="auto"/>
          <w:szCs w:val="24"/>
          <w:highlight w:val="none"/>
          <w:lang w:val="en-US" w:eastAsia="zh-CN" w:bidi="ar-SA"/>
        </w:rPr>
        <w:t>）相关性原则一一应当与绩效目标有直接的联系，能够恰当反映目标的实现程度。</w:t>
      </w:r>
      <w:bookmarkStart w:id="4" w:name="bookmark72"/>
      <w:bookmarkEnd w:id="4"/>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2</w:t>
      </w:r>
      <w:r>
        <w:rPr>
          <w:rFonts w:ascii="仿宋_GB2312" w:hAnsi="Calibri" w:eastAsia="仿宋_GB2312" w:cs="Times New Roman"/>
          <w:color w:val="auto"/>
          <w:szCs w:val="24"/>
          <w:highlight w:val="none"/>
          <w:lang w:val="en-US" w:eastAsia="zh-CN" w:bidi="ar-SA"/>
        </w:rPr>
        <w:t>）重要性原则一一优先使用最具评价对象代表性、最能反映评价要求的核心指标。</w:t>
      </w:r>
    </w:p>
    <w:p>
      <w:pPr>
        <w:pStyle w:val="10"/>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99" w:firstLineChars="233"/>
        <w:jc w:val="left"/>
        <w:textAlignment w:val="auto"/>
        <w:rPr>
          <w:rFonts w:ascii="仿宋_GB2312" w:hAnsi="Calibri" w:eastAsia="仿宋_GB2312" w:cs="Times New Roman"/>
          <w:color w:val="auto"/>
          <w:szCs w:val="24"/>
          <w:highlight w:val="none"/>
          <w:lang w:val="en-US" w:eastAsia="zh-CN" w:bidi="ar-SA"/>
        </w:rPr>
      </w:pPr>
      <w:bookmarkStart w:id="5" w:name="bookmark73"/>
      <w:bookmarkEnd w:id="5"/>
      <w:r>
        <w:rPr>
          <w:rFonts w:hint="eastAsia" w:ascii="仿宋_GB2312" w:hAnsi="Calibri" w:eastAsia="仿宋_GB2312" w:cs="Times New Roman"/>
          <w:color w:val="auto"/>
          <w:szCs w:val="24"/>
          <w:highlight w:val="none"/>
          <w:lang w:val="en-US" w:eastAsia="zh-CN" w:bidi="ar-SA"/>
        </w:rPr>
        <w:t>（3）</w:t>
      </w:r>
      <w:r>
        <w:rPr>
          <w:rFonts w:ascii="仿宋_GB2312" w:hAnsi="Calibri" w:eastAsia="仿宋_GB2312" w:cs="Times New Roman"/>
          <w:color w:val="auto"/>
          <w:szCs w:val="24"/>
          <w:highlight w:val="none"/>
          <w:lang w:val="en-US" w:eastAsia="zh-CN" w:bidi="ar-SA"/>
        </w:rPr>
        <w:t>可比性原则一一对同类评价对象要设定共性的绩效评价指标，以便于评价结果可以相互比较。</w:t>
      </w:r>
    </w:p>
    <w:p>
      <w:pPr>
        <w:pStyle w:val="10"/>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99" w:firstLineChars="233"/>
        <w:jc w:val="left"/>
        <w:textAlignment w:val="auto"/>
        <w:rPr>
          <w:rFonts w:ascii="仿宋_GB2312" w:hAnsi="Calibri" w:eastAsia="仿宋_GB2312" w:cs="Times New Roman"/>
          <w:color w:val="auto"/>
          <w:szCs w:val="24"/>
          <w:highlight w:val="none"/>
          <w:lang w:val="en-US" w:eastAsia="zh-CN" w:bidi="ar-SA"/>
        </w:rPr>
      </w:pPr>
      <w:bookmarkStart w:id="6" w:name="bookmark74"/>
      <w:bookmarkEnd w:id="6"/>
      <w:r>
        <w:rPr>
          <w:rFonts w:hint="eastAsia" w:ascii="仿宋_GB2312" w:hAnsi="Calibri" w:eastAsia="仿宋_GB2312" w:cs="Times New Roman"/>
          <w:color w:val="auto"/>
          <w:szCs w:val="24"/>
          <w:highlight w:val="none"/>
          <w:lang w:val="en-US" w:eastAsia="zh-CN" w:bidi="ar-SA"/>
        </w:rPr>
        <w:t>（4）</w:t>
      </w:r>
      <w:r>
        <w:rPr>
          <w:rFonts w:ascii="仿宋_GB2312" w:hAnsi="Calibri" w:eastAsia="仿宋_GB2312" w:cs="Times New Roman"/>
          <w:color w:val="auto"/>
          <w:szCs w:val="24"/>
          <w:highlight w:val="none"/>
          <w:lang w:val="en-US" w:eastAsia="zh-CN" w:bidi="ar-SA"/>
        </w:rPr>
        <w:t>系统性原则一一应当将定量指标与定性指标相结合，系统反映财政支出所产生的社会效益、经济效益、环境效益和可持续影响等。</w:t>
      </w:r>
    </w:p>
    <w:p>
      <w:pPr>
        <w:pStyle w:val="10"/>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00" w:firstLineChars="200"/>
        <w:jc w:val="left"/>
        <w:textAlignment w:val="auto"/>
        <w:rPr>
          <w:rFonts w:ascii="仿宋_GB2312" w:hAnsi="Calibri" w:eastAsia="仿宋_GB2312" w:cs="Times New Roman"/>
          <w:color w:val="auto"/>
          <w:szCs w:val="24"/>
          <w:highlight w:val="none"/>
          <w:lang w:val="en-US" w:eastAsia="zh-CN" w:bidi="ar-SA"/>
        </w:rPr>
      </w:pPr>
      <w:bookmarkStart w:id="7" w:name="bookmark75"/>
      <w:bookmarkEnd w:id="7"/>
      <w:r>
        <w:rPr>
          <w:rFonts w:hint="eastAsia" w:ascii="仿宋_GB2312" w:hAnsi="Calibri" w:eastAsia="仿宋_GB2312" w:cs="Times New Roman"/>
          <w:color w:val="auto"/>
          <w:szCs w:val="24"/>
          <w:highlight w:val="none"/>
          <w:lang w:val="en-US" w:eastAsia="zh-CN" w:bidi="ar-SA"/>
        </w:rPr>
        <w:t>（5）</w:t>
      </w:r>
      <w:r>
        <w:rPr>
          <w:rFonts w:ascii="仿宋_GB2312" w:hAnsi="Calibri" w:eastAsia="仿宋_GB2312" w:cs="Times New Roman"/>
          <w:color w:val="auto"/>
          <w:szCs w:val="24"/>
          <w:highlight w:val="none"/>
          <w:lang w:val="en-US" w:eastAsia="zh-CN" w:bidi="ar-SA"/>
        </w:rPr>
        <w:t>经济性原则一一应当通俗易懂、简便易行，数据的获得应当考虑现实条件和可操作性，符合成本效益原则。</w:t>
      </w:r>
    </w:p>
    <w:p>
      <w:pPr>
        <w:pStyle w:val="10"/>
        <w:keepNext w:val="0"/>
        <w:keepLines w:val="0"/>
        <w:pageBreakBefore w:val="0"/>
        <w:widowControl w:val="0"/>
        <w:tabs>
          <w:tab w:val="left" w:pos="979"/>
        </w:tabs>
        <w:kinsoku/>
        <w:wordWrap/>
        <w:overflowPunct/>
        <w:topLinePunct w:val="0"/>
        <w:autoSpaceDE/>
        <w:autoSpaceDN/>
        <w:bidi w:val="0"/>
        <w:adjustRightInd/>
        <w:snapToGrid/>
        <w:spacing w:line="560" w:lineRule="exact"/>
        <w:ind w:left="500" w:firstLine="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绩效评价指标体系设定：</w:t>
      </w:r>
    </w:p>
    <w:p>
      <w:pPr>
        <w:pStyle w:val="10"/>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99" w:firstLineChars="233"/>
        <w:textAlignment w:val="auto"/>
        <w:rPr>
          <w:rFonts w:ascii="仿宋_GB2312" w:hAnsi="Calibri" w:eastAsia="仿宋_GB2312" w:cs="Times New Roman"/>
          <w:color w:val="auto"/>
          <w:szCs w:val="24"/>
          <w:highlight w:val="none"/>
          <w:lang w:val="en-US" w:eastAsia="zh-CN" w:bidi="ar-SA"/>
        </w:rPr>
      </w:pPr>
      <w:r>
        <w:rPr>
          <w:rFonts w:hint="eastAsia" w:ascii="仿宋_GB2312" w:hAnsi="Calibri" w:eastAsia="仿宋_GB2312" w:cs="Times New Roman"/>
          <w:color w:val="auto"/>
          <w:szCs w:val="24"/>
          <w:highlight w:val="none"/>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w:t>
      </w:r>
    </w:p>
    <w:p>
      <w:pPr>
        <w:pStyle w:val="10"/>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99" w:firstLineChars="233"/>
        <w:textAlignment w:val="auto"/>
        <w:rPr>
          <w:rFonts w:ascii="仿宋_GB2312" w:hAnsi="Times New Roman" w:eastAsia="仿宋_GB2312" w:cs="Times New Roman"/>
          <w:color w:val="auto"/>
          <w:szCs w:val="24"/>
          <w:highlight w:val="none"/>
          <w:lang w:val="en-US" w:eastAsia="zh-CN" w:bidi="ar-SA"/>
        </w:rPr>
      </w:pPr>
      <w:r>
        <w:rPr>
          <w:rFonts w:hint="eastAsia" w:ascii="仿宋_GB2312" w:hAnsi="Calibri" w:eastAsia="仿宋_GB2312" w:cs="Times New Roman"/>
          <w:color w:val="auto"/>
          <w:szCs w:val="24"/>
          <w:highlight w:val="none"/>
          <w:lang w:val="en-US" w:eastAsia="zh-CN" w:bidi="ar-SA"/>
        </w:rPr>
        <w:t>在对网站建设经费业务项目</w:t>
      </w:r>
      <w:r>
        <w:rPr>
          <w:rFonts w:ascii="仿宋_GB2312" w:hAnsi="Calibri" w:eastAsia="仿宋_GB2312" w:cs="Times New Roman"/>
          <w:color w:val="auto"/>
          <w:szCs w:val="24"/>
          <w:highlight w:val="none"/>
          <w:lang w:val="en-US" w:eastAsia="zh-CN" w:bidi="ar-SA"/>
        </w:rPr>
        <w:t>的深入调研的基础上，按照《项目支出绩效评价管理办法》（财预〔20</w:t>
      </w:r>
      <w:r>
        <w:rPr>
          <w:rFonts w:hint="eastAsia" w:ascii="仿宋_GB2312" w:hAnsi="Calibri" w:eastAsia="仿宋_GB2312" w:cs="Times New Roman"/>
          <w:color w:val="auto"/>
          <w:szCs w:val="24"/>
          <w:highlight w:val="none"/>
          <w:lang w:val="en-US" w:eastAsia="zh-CN" w:bidi="ar-SA"/>
        </w:rPr>
        <w:t>20</w:t>
      </w: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10号</w:t>
      </w:r>
      <w:r>
        <w:rPr>
          <w:rFonts w:ascii="仿宋_GB2312" w:hAnsi="Calibri" w:eastAsia="仿宋_GB2312" w:cs="Times New Roman"/>
          <w:color w:val="auto"/>
          <w:szCs w:val="24"/>
          <w:highlight w:val="none"/>
          <w:lang w:val="en-US" w:eastAsia="zh-CN" w:bidi="ar-SA"/>
        </w:rPr>
        <w:t>）对于指标体系的要求和规范，建立一套适合评价</w:t>
      </w:r>
      <w:r>
        <w:rPr>
          <w:rFonts w:hint="eastAsia" w:ascii="仿宋_GB2312" w:hAnsi="Calibri" w:eastAsia="仿宋_GB2312" w:cs="Times New Roman"/>
          <w:color w:val="auto"/>
          <w:szCs w:val="24"/>
          <w:highlight w:val="none"/>
          <w:lang w:val="en-US" w:eastAsia="zh-CN" w:bidi="ar-SA"/>
        </w:rPr>
        <w:t>网站建设经费</w:t>
      </w:r>
      <w:r>
        <w:rPr>
          <w:rFonts w:ascii="仿宋_GB2312" w:hAnsi="Calibri" w:eastAsia="仿宋_GB2312" w:cs="Times New Roman"/>
          <w:color w:val="auto"/>
          <w:szCs w:val="24"/>
          <w:highlight w:val="none"/>
          <w:lang w:val="en-US" w:eastAsia="zh-CN" w:bidi="ar-SA"/>
        </w:rPr>
        <w:t>的指标体系，从项目决策、项目过程、项目产出和项目绩效四个维度全面考察</w:t>
      </w:r>
      <w:r>
        <w:rPr>
          <w:rFonts w:hint="eastAsia" w:ascii="仿宋_GB2312" w:hAnsi="Calibri" w:eastAsia="仿宋_GB2312" w:cs="Times New Roman"/>
          <w:color w:val="auto"/>
          <w:szCs w:val="24"/>
          <w:highlight w:val="none"/>
          <w:lang w:val="en-US" w:eastAsia="zh-CN" w:bidi="ar-SA"/>
        </w:rPr>
        <w:t>网站建设经费</w:t>
      </w:r>
      <w:r>
        <w:rPr>
          <w:rFonts w:ascii="仿宋_GB2312" w:hAnsi="Calibri" w:eastAsia="仿宋_GB2312" w:cs="Times New Roman"/>
          <w:color w:val="auto"/>
          <w:szCs w:val="24"/>
          <w:highlight w:val="none"/>
          <w:lang w:val="en-US" w:eastAsia="zh-CN" w:bidi="ar-SA"/>
        </w:rPr>
        <w:t>的效</w:t>
      </w:r>
      <w:r>
        <w:rPr>
          <w:rFonts w:ascii="仿宋_GB2312" w:hAnsi="Times New Roman" w:eastAsia="仿宋_GB2312" w:cs="Times New Roman"/>
          <w:color w:val="auto"/>
          <w:szCs w:val="24"/>
          <w:highlight w:val="none"/>
          <w:lang w:val="en-US" w:eastAsia="zh-CN" w:bidi="ar-SA"/>
        </w:rPr>
        <w:t>益，并重点对于项目的产出和绩效进行总体分析，以达到通过指标体系的科学评价反思管理及决策问题的目标。</w:t>
      </w:r>
      <w:r>
        <w:rPr>
          <w:rFonts w:hint="eastAsia" w:ascii="仿宋_GB2312" w:hAnsi="Times New Roman" w:eastAsia="仿宋_GB2312" w:cs="Times New Roman"/>
          <w:szCs w:val="24"/>
          <w:lang w:val="en-US" w:eastAsia="zh-CN" w:bidi="ar-SA"/>
        </w:rPr>
        <w:t>（见附件1）</w:t>
      </w:r>
    </w:p>
    <w:p>
      <w:pPr>
        <w:pStyle w:val="10"/>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99" w:firstLineChars="233"/>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rPr>
        <w:t>3、</w:t>
      </w:r>
      <w:r>
        <w:rPr>
          <w:rFonts w:hint="eastAsia" w:ascii="仿宋_GB2312" w:hAnsi="Times New Roman" w:eastAsia="仿宋_GB2312" w:cs="Times New Roman"/>
          <w:color w:val="auto"/>
          <w:szCs w:val="24"/>
          <w:highlight w:val="none"/>
        </w:rPr>
        <w:t>绩效评价方法</w:t>
      </w:r>
    </w:p>
    <w:p>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绩效评价方法主要包括成本效益分析法、比较法、因素分析法、最低成本法、公众评判法、标杆管理法等。根据评价对象的具体情况，可采用一种或多种方法。</w:t>
      </w:r>
    </w:p>
    <w:p>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（一）成本效益分析法。是指将投入与产出、效益进行关联性分析的方法。</w:t>
      </w:r>
    </w:p>
    <w:p>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（二）比较法。是指将实施情况与绩效目标、历史情况、不同部门和地区同类支出情况进行比较的方法。</w:t>
      </w:r>
    </w:p>
    <w:p>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（三）因素分析法。是指综合分析影响绩效目标实现、实施效果的内外部因素的方法。</w:t>
      </w:r>
    </w:p>
    <w:p>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（四）最低成本法。是指在绩效目标确定的前提下，成本最小者为优的方法。</w:t>
      </w:r>
    </w:p>
    <w:p>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（五）公众评判法。是指通过专家评估、公众问卷及抽样调查等方式进行评判的方法。</w:t>
      </w:r>
    </w:p>
    <w:p>
      <w:pPr>
        <w:pStyle w:val="10"/>
        <w:spacing w:line="619" w:lineRule="exact"/>
        <w:ind w:firstLine="500"/>
        <w:jc w:val="left"/>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（六）标杆管理法。是指以国内外同行业中较高的绩效水平为标杆进行评判的方法。</w:t>
      </w:r>
    </w:p>
    <w:p>
      <w:pPr>
        <w:pStyle w:val="10"/>
        <w:spacing w:line="619" w:lineRule="exact"/>
        <w:ind w:firstLine="500"/>
        <w:jc w:val="left"/>
        <w:rPr>
          <w:rFonts w:ascii="Times New Roman" w:hAnsi="Times New Roman" w:eastAsia="仿宋_GB2312"/>
          <w:b/>
          <w:color w:val="auto"/>
          <w:sz w:val="28"/>
          <w:szCs w:val="28"/>
          <w:highlight w:val="none"/>
          <w:lang w:eastAsia="zh-CN"/>
        </w:rPr>
      </w:pPr>
      <w:r>
        <w:rPr>
          <w:rFonts w:hint="eastAsia" w:ascii="仿宋_GB2312" w:hAnsi="Times New Roman" w:eastAsia="仿宋_GB2312" w:cs="Times New Roman"/>
          <w:color w:val="auto"/>
          <w:szCs w:val="24"/>
          <w:highlight w:val="none"/>
          <w:lang w:val="en-US" w:eastAsia="zh-CN" w:bidi="ar-SA"/>
        </w:rPr>
        <w:t>（七）其他评价方法。</w:t>
      </w:r>
    </w:p>
    <w:p>
      <w:pPr>
        <w:spacing w:line="500" w:lineRule="exact"/>
        <w:ind w:firstLine="562" w:firstLineChars="200"/>
        <w:rPr>
          <w:rFonts w:hint="eastAsia" w:ascii="仿宋_GB2312" w:hAnsi="Times New Roman" w:eastAsia="仿宋_GB2312"/>
          <w:color w:val="auto"/>
          <w:sz w:val="30"/>
          <w:szCs w:val="24"/>
          <w:highlight w:val="none"/>
        </w:rPr>
      </w:pPr>
      <w:r>
        <w:rPr>
          <w:rFonts w:hint="eastAsia" w:ascii="Times New Roman" w:hAnsi="Times New Roman" w:eastAsia="仿宋_GB2312" w:cs="Times New Roman"/>
          <w:b/>
          <w:bCs/>
          <w:color w:val="auto"/>
          <w:sz w:val="28"/>
          <w:szCs w:val="28"/>
          <w:highlight w:val="none"/>
        </w:rPr>
        <w:t>文献法：</w:t>
      </w:r>
      <w:r>
        <w:rPr>
          <w:rFonts w:hint="eastAsia" w:ascii="仿宋_GB2312" w:hAnsi="Times New Roman" w:eastAsia="仿宋_GB2312"/>
          <w:color w:val="auto"/>
          <w:sz w:val="30"/>
          <w:szCs w:val="24"/>
          <w:highlight w:val="none"/>
        </w:rPr>
        <w:t>通过检索、查阅、梳理国家、自治区、地州有关政府部门制定的劳动密集型产业发展的相关的政策文件，了解本专项资金政策内容、目标，以及上级的相关产业规划，考察本专项资金设立与国家、自治区相关战略规划是否匹配。</w:t>
      </w:r>
    </w:p>
    <w:p>
      <w:pPr>
        <w:spacing w:line="500" w:lineRule="exact"/>
        <w:ind w:firstLine="562" w:firstLineChars="200"/>
        <w:rPr>
          <w:rFonts w:hint="eastAsia" w:ascii="仿宋_GB2312" w:hAnsi="Times New Roman" w:eastAsia="仿宋_GB2312"/>
          <w:color w:val="auto"/>
          <w:sz w:val="30"/>
          <w:szCs w:val="24"/>
          <w:highlight w:val="none"/>
        </w:rPr>
      </w:pPr>
      <w:r>
        <w:rPr>
          <w:rFonts w:hint="eastAsia" w:ascii="Times New Roman" w:hAnsi="Times New Roman" w:eastAsia="仿宋_GB2312" w:cs="Times New Roman"/>
          <w:b/>
          <w:bCs/>
          <w:color w:val="auto"/>
          <w:sz w:val="28"/>
          <w:szCs w:val="28"/>
          <w:highlight w:val="none"/>
        </w:rPr>
        <w:t>材料核实法：</w:t>
      </w:r>
      <w:r>
        <w:rPr>
          <w:rFonts w:hint="eastAsia" w:ascii="仿宋_GB2312" w:hAnsi="Times New Roman" w:eastAsia="仿宋_GB2312"/>
          <w:color w:val="auto"/>
          <w:sz w:val="30"/>
          <w:szCs w:val="24"/>
          <w:highlight w:val="none"/>
        </w:rPr>
        <w:t>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w:t>
      </w:r>
    </w:p>
    <w:p>
      <w:pPr>
        <w:spacing w:line="500" w:lineRule="exact"/>
        <w:ind w:firstLine="600" w:firstLineChars="20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网站建设业务资金项目主要用于项目</w:t>
      </w:r>
      <w:r>
        <w:rPr>
          <w:rFonts w:hint="eastAsia" w:ascii="仿宋_GB2312" w:hAnsi="Times New Roman" w:eastAsia="仿宋_GB2312"/>
          <w:color w:val="auto"/>
          <w:sz w:val="30"/>
          <w:szCs w:val="24"/>
          <w:highlight w:val="none"/>
        </w:rPr>
        <w:t>优化政府门户网站功能，实现资源整合、在线服务、信息公开、民主参与的功能。通过不断优化政府网站功能，促进政务信息公开，提高政务公开透明度和人民群众满意度。根据项目资金的性质和特点，我们选用材料核实法对项目进行评价</w:t>
      </w:r>
      <w:r>
        <w:rPr>
          <w:rFonts w:hint="eastAsia" w:ascii="仿宋_GB2312" w:hAnsi="Times New Roman" w:eastAsia="仿宋_GB2312"/>
          <w:color w:val="auto"/>
          <w:sz w:val="30"/>
          <w:szCs w:val="24"/>
          <w:highlight w:val="none"/>
          <w:lang w:eastAsia="zh-CN"/>
        </w:rPr>
        <w:t>。</w:t>
      </w:r>
    </w:p>
    <w:p>
      <w:pPr>
        <w:spacing w:line="500" w:lineRule="exact"/>
        <w:ind w:firstLine="600" w:firstLineChars="20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val="en-US" w:eastAsia="zh-CN"/>
        </w:rPr>
        <w:t>通过查账，了解网站建设资金项目资金实际开支情况，该项目做到了专款专用、按标准支出拨付。检查乌尔禾区财政局资金凭证及账册，核实项目资金拨付时间、金额、支出时间、内容、范围和标准等，各项支出均按照资金管理办法的范围和标准执行，不存在超范围列支的情况。可以达到预期的经济产出目标，项目的实施能够产生社会效益。</w:t>
      </w:r>
    </w:p>
    <w:p>
      <w:pPr>
        <w:spacing w:line="500" w:lineRule="exact"/>
        <w:ind w:firstLine="600" w:firstLineChars="20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val="en-US" w:eastAsia="zh-CN"/>
        </w:rPr>
        <w:t>4、</w:t>
      </w:r>
      <w:r>
        <w:rPr>
          <w:rFonts w:hint="eastAsia" w:ascii="仿宋_GB2312" w:hAnsi="Times New Roman" w:eastAsia="仿宋_GB2312"/>
          <w:color w:val="auto"/>
          <w:sz w:val="30"/>
          <w:szCs w:val="24"/>
          <w:highlight w:val="none"/>
        </w:rPr>
        <w:t>绩效评价标准</w:t>
      </w:r>
    </w:p>
    <w:p>
      <w:pPr>
        <w:spacing w:line="5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绩效评价标准通常包括计划标准、行业标准、历史标准等，用于对绩效指标完成情况进行比较。</w:t>
      </w:r>
    </w:p>
    <w:p>
      <w:pPr>
        <w:spacing w:line="500" w:lineRule="exact"/>
        <w:ind w:firstLine="450" w:firstLineChars="15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（一）计划标准。指以预先制定的目标、计划、预算、定额等作为评价标准。</w:t>
      </w:r>
    </w:p>
    <w:p>
      <w:pPr>
        <w:spacing w:line="500" w:lineRule="exact"/>
        <w:ind w:firstLine="450" w:firstLineChars="15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（二）行业标准。指参照国家公布的行业指标数据制定的评价标准。</w:t>
      </w:r>
    </w:p>
    <w:p>
      <w:pPr>
        <w:spacing w:line="500" w:lineRule="exact"/>
        <w:ind w:firstLine="450" w:firstLineChars="15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（三）历史标准。指参照历史数据制定的评价标准，为体现绩效改进的原则，在可实现的条件下应当确定相对较高的评价标准。</w:t>
      </w:r>
    </w:p>
    <w:p>
      <w:pPr>
        <w:spacing w:line="500" w:lineRule="exact"/>
        <w:ind w:firstLine="450" w:firstLineChars="15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（四）财政部门和预算部门确认或认可的其他标准。</w:t>
      </w:r>
    </w:p>
    <w:p>
      <w:pPr>
        <w:spacing w:line="5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驻外办事处业务资金项目属于对已有延续性项目，有相应的行业标准和历史标准，故采用按照历史标准评价该项目。</w:t>
      </w:r>
    </w:p>
    <w:p>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（三）绩效评价工作过程。</w:t>
      </w:r>
    </w:p>
    <w:p>
      <w:pPr>
        <w:spacing w:line="600" w:lineRule="exact"/>
        <w:ind w:firstLine="600" w:firstLineChars="200"/>
        <w:rPr>
          <w:rFonts w:ascii="仿宋_GB2312" w:hAnsi="Times New Roman" w:eastAsia="仿宋_GB2312"/>
          <w:color w:val="auto"/>
          <w:sz w:val="30"/>
          <w:szCs w:val="24"/>
          <w:highlight w:val="none"/>
        </w:rPr>
      </w:pPr>
      <w:bookmarkStart w:id="8" w:name="bookmark78"/>
      <w:r>
        <w:rPr>
          <w:rFonts w:hint="eastAsia" w:ascii="仿宋_GB2312" w:hAnsi="Times New Roman" w:eastAsia="仿宋_GB2312"/>
          <w:color w:val="auto"/>
          <w:sz w:val="30"/>
          <w:szCs w:val="24"/>
          <w:highlight w:val="none"/>
        </w:rPr>
        <w:t>1</w:t>
      </w:r>
      <w:bookmarkEnd w:id="8"/>
      <w:r>
        <w:rPr>
          <w:rFonts w:hint="eastAsia" w:ascii="仿宋_GB2312" w:hAnsi="Times New Roman" w:eastAsia="仿宋_GB2312"/>
          <w:color w:val="auto"/>
          <w:sz w:val="30"/>
          <w:szCs w:val="24"/>
          <w:highlight w:val="none"/>
        </w:rPr>
        <w:t>、前期准备</w:t>
      </w:r>
    </w:p>
    <w:p>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w:t>
      </w:r>
      <w:r>
        <w:rPr>
          <w:rFonts w:hint="eastAsia" w:ascii="仿宋_GB2312" w:hAnsi="Times New Roman" w:eastAsia="仿宋_GB2312"/>
          <w:color w:val="auto"/>
          <w:sz w:val="30"/>
          <w:szCs w:val="24"/>
          <w:highlight w:val="none"/>
          <w:lang w:val="en-US" w:eastAsia="zh-CN"/>
        </w:rPr>
        <w:t>19</w:t>
      </w:r>
      <w:r>
        <w:rPr>
          <w:rFonts w:hint="eastAsia" w:ascii="仿宋_GB2312" w:hAnsi="Times New Roman" w:eastAsia="仿宋_GB2312"/>
          <w:color w:val="auto"/>
          <w:sz w:val="30"/>
          <w:szCs w:val="24"/>
          <w:highlight w:val="none"/>
        </w:rPr>
        <w:t>年11月29</w:t>
      </w:r>
      <w:r>
        <w:rPr>
          <w:rFonts w:hint="eastAsia" w:ascii="仿宋_GB2312" w:hAnsi="Times New Roman" w:eastAsia="仿宋_GB2312"/>
          <w:color w:val="auto"/>
          <w:sz w:val="30"/>
          <w:szCs w:val="24"/>
          <w:highlight w:val="none"/>
          <w:lang w:eastAsia="zh-CN"/>
        </w:rPr>
        <w:t>日</w:t>
      </w:r>
      <w:r>
        <w:rPr>
          <w:rFonts w:hint="eastAsia" w:ascii="仿宋_GB2312" w:hAnsi="Times New Roman" w:eastAsia="仿宋_GB2312"/>
          <w:color w:val="auto"/>
          <w:sz w:val="30"/>
          <w:szCs w:val="24"/>
          <w:highlight w:val="none"/>
        </w:rPr>
        <w:t>,开始前期准备工作，评价组通过对评价对象前期调研，确定了评价的目的、方法以及评价的原则，根据项目的内容和特征制定了评价指标体系及评价标准以及评价实施方案，修正并确定所需资料清单，最终确定实施方案。</w:t>
      </w:r>
    </w:p>
    <w:p>
      <w:pPr>
        <w:spacing w:line="600" w:lineRule="exact"/>
        <w:ind w:firstLine="600" w:firstLineChars="200"/>
        <w:rPr>
          <w:rFonts w:ascii="仿宋_GB2312" w:hAnsi="Times New Roman" w:eastAsia="仿宋_GB2312"/>
          <w:color w:val="auto"/>
          <w:sz w:val="30"/>
          <w:szCs w:val="24"/>
          <w:highlight w:val="none"/>
        </w:rPr>
      </w:pPr>
      <w:bookmarkStart w:id="9" w:name="bookmark79"/>
      <w:r>
        <w:rPr>
          <w:rFonts w:hint="eastAsia" w:ascii="仿宋_GB2312" w:hAnsi="Times New Roman" w:eastAsia="仿宋_GB2312"/>
          <w:color w:val="auto"/>
          <w:sz w:val="30"/>
          <w:szCs w:val="24"/>
          <w:highlight w:val="none"/>
        </w:rPr>
        <w:t>2</w:t>
      </w:r>
      <w:bookmarkEnd w:id="9"/>
      <w:r>
        <w:rPr>
          <w:rFonts w:hint="eastAsia" w:ascii="仿宋_GB2312" w:hAnsi="Times New Roman" w:eastAsia="仿宋_GB2312"/>
          <w:color w:val="auto"/>
          <w:sz w:val="30"/>
          <w:szCs w:val="24"/>
          <w:highlight w:val="none"/>
        </w:rPr>
        <w:t>、组织实施</w:t>
      </w:r>
    </w:p>
    <w:p>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val="zh-CN"/>
        </w:rPr>
        <w:t>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w:t>
      </w:r>
      <w:r>
        <w:rPr>
          <w:rFonts w:hint="eastAsia" w:ascii="仿宋_GB2312" w:hAnsi="Times New Roman" w:eastAsia="仿宋_GB2312"/>
          <w:color w:val="auto"/>
          <w:sz w:val="30"/>
          <w:szCs w:val="24"/>
          <w:highlight w:val="none"/>
          <w:lang w:val="zh-CN"/>
        </w:rPr>
        <w:t>11</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zh-CN"/>
        </w:rPr>
        <w:t>29</w:t>
      </w:r>
      <w:r>
        <w:rPr>
          <w:rFonts w:hint="eastAsia" w:ascii="仿宋_GB2312" w:hAnsi="Times New Roman" w:eastAsia="仿宋_GB2312"/>
          <w:color w:val="auto"/>
          <w:sz w:val="30"/>
          <w:szCs w:val="24"/>
          <w:highlight w:val="none"/>
        </w:rPr>
        <w:t>日-</w:t>
      </w:r>
      <w:r>
        <w:rPr>
          <w:rFonts w:hint="eastAsia" w:ascii="仿宋_GB2312" w:hAnsi="Times New Roman" w:eastAsia="仿宋_GB2312"/>
          <w:color w:val="auto"/>
          <w:sz w:val="30"/>
          <w:szCs w:val="24"/>
          <w:highlight w:val="none"/>
          <w:lang w:val="zh-CN"/>
        </w:rPr>
        <w:t>12</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zh-CN"/>
        </w:rPr>
        <w:t>4</w:t>
      </w:r>
      <w:r>
        <w:rPr>
          <w:rFonts w:hint="eastAsia" w:ascii="仿宋_GB2312" w:hAnsi="Times New Roman" w:eastAsia="仿宋_GB2312"/>
          <w:color w:val="auto"/>
          <w:sz w:val="30"/>
          <w:szCs w:val="24"/>
          <w:highlight w:val="none"/>
        </w:rPr>
        <w:t>日，评价工作进入预算申请审核阶段。在数据采集方面，评价组整理单位前期提交的资料，与项目实施负责人沟通，了解资金的内容、操作流程、管理机制、资金使用方向等情况；进行信息采集，了解项目设置背景及资金使用等情况</w:t>
      </w:r>
      <w:bookmarkStart w:id="10" w:name="bookmark80"/>
      <w:r>
        <w:rPr>
          <w:rFonts w:hint="eastAsia" w:ascii="仿宋_GB2312" w:hAnsi="Times New Roman" w:eastAsia="仿宋_GB2312"/>
          <w:color w:val="auto"/>
          <w:sz w:val="30"/>
          <w:szCs w:val="24"/>
          <w:highlight w:val="none"/>
        </w:rPr>
        <w:t>。</w:t>
      </w:r>
      <w:bookmarkEnd w:id="10"/>
    </w:p>
    <w:p>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3、分析评价</w:t>
      </w:r>
    </w:p>
    <w:p>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202</w:t>
      </w:r>
      <w:r>
        <w:rPr>
          <w:rFonts w:hint="eastAsia" w:ascii="仿宋_GB2312" w:hAnsi="Times New Roman" w:eastAsia="仿宋_GB2312"/>
          <w:color w:val="auto"/>
          <w:sz w:val="30"/>
          <w:szCs w:val="24"/>
          <w:highlight w:val="none"/>
          <w:lang w:val="en-US" w:eastAsia="zh-CN"/>
        </w:rPr>
        <w:t>1</w:t>
      </w:r>
      <w:r>
        <w:rPr>
          <w:rFonts w:hint="eastAsia" w:ascii="仿宋_GB2312" w:hAnsi="Times New Roman" w:eastAsia="仿宋_GB2312"/>
          <w:color w:val="auto"/>
          <w:sz w:val="30"/>
          <w:szCs w:val="24"/>
          <w:highlight w:val="none"/>
        </w:rPr>
        <w:t>年</w:t>
      </w:r>
      <w:r>
        <w:rPr>
          <w:rFonts w:hint="eastAsia" w:ascii="仿宋_GB2312" w:hAnsi="Times New Roman" w:eastAsia="仿宋_GB2312"/>
          <w:color w:val="auto"/>
          <w:sz w:val="30"/>
          <w:szCs w:val="24"/>
          <w:highlight w:val="none"/>
          <w:lang w:val="en-US" w:eastAsia="zh-CN"/>
        </w:rPr>
        <w:t>3</w:t>
      </w:r>
      <w:r>
        <w:rPr>
          <w:rFonts w:hint="eastAsia" w:ascii="仿宋_GB2312" w:hAnsi="Times New Roman" w:eastAsia="仿宋_GB2312"/>
          <w:color w:val="auto"/>
          <w:sz w:val="30"/>
          <w:szCs w:val="24"/>
          <w:highlight w:val="none"/>
        </w:rPr>
        <w:t>月06-</w:t>
      </w:r>
      <w:r>
        <w:rPr>
          <w:rFonts w:hint="eastAsia" w:ascii="仿宋_GB2312" w:hAnsi="Times New Roman" w:eastAsia="仿宋_GB2312"/>
          <w:color w:val="auto"/>
          <w:sz w:val="30"/>
          <w:szCs w:val="24"/>
          <w:highlight w:val="none"/>
          <w:lang w:val="en-US" w:eastAsia="zh-CN"/>
        </w:rPr>
        <w:t>3</w:t>
      </w:r>
      <w:r>
        <w:rPr>
          <w:rFonts w:hint="eastAsia" w:ascii="仿宋_GB2312" w:hAnsi="Times New Roman" w:eastAsia="仿宋_GB2312"/>
          <w:color w:val="auto"/>
          <w:sz w:val="30"/>
          <w:szCs w:val="24"/>
          <w:highlight w:val="none"/>
        </w:rPr>
        <w:t>月20日，评价组按照绩效评价的原则和规范，对取得的资料进行审查核实，对采集的数据进行分析，按照绩效评价指标评分表逐项进行打分、分析，汇总各方评价结果，综合分析并形成评价结论。</w:t>
      </w:r>
    </w:p>
    <w:p>
      <w:pPr>
        <w:spacing w:line="600" w:lineRule="exact"/>
        <w:ind w:firstLine="600" w:firstLineChars="200"/>
        <w:rPr>
          <w:rFonts w:ascii="仿宋_GB2312" w:hAnsi="Times New Roman" w:eastAsia="仿宋_GB2312"/>
          <w:color w:val="auto"/>
          <w:sz w:val="30"/>
          <w:szCs w:val="24"/>
          <w:highlight w:val="none"/>
        </w:rPr>
      </w:pPr>
      <w:r>
        <w:rPr>
          <w:rFonts w:hint="eastAsia" w:ascii="黑体" w:hAnsi="黑体" w:eastAsia="黑体"/>
          <w:color w:val="auto"/>
          <w:sz w:val="30"/>
          <w:szCs w:val="24"/>
          <w:highlight w:val="none"/>
        </w:rPr>
        <w:t>三、综合评价情况及评价结论</w:t>
      </w:r>
    </w:p>
    <w:p>
      <w:pPr>
        <w:pStyle w:val="10"/>
        <w:spacing w:line="600" w:lineRule="exact"/>
        <w:rPr>
          <w:rFonts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en-US" w:eastAsia="zh-CN" w:bidi="ar-SA"/>
        </w:rPr>
        <w:t>（一）综合评价情况</w:t>
      </w:r>
    </w:p>
    <w:p>
      <w:pPr>
        <w:pStyle w:val="10"/>
        <w:spacing w:line="600" w:lineRule="exact"/>
        <w:ind w:firstLine="600" w:firstLineChars="2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乌尔禾区人民政府办公室网站建设综合得分为100分。</w:t>
      </w:r>
    </w:p>
    <w:p>
      <w:pPr>
        <w:pStyle w:val="10"/>
        <w:spacing w:line="600" w:lineRule="exact"/>
        <w:ind w:firstLine="600" w:firstLineChars="200"/>
        <w:rPr>
          <w:rFonts w:hint="eastAsia" w:ascii="仿宋_GB2312" w:hAnsi="Times New Roman" w:eastAsia="仿宋_GB2312" w:cs="Times New Roman"/>
          <w:color w:val="auto"/>
          <w:szCs w:val="24"/>
          <w:highlight w:val="none"/>
          <w:lang w:val="en-US" w:eastAsia="zh-CN" w:bidi="ar-SA"/>
        </w:rPr>
      </w:pPr>
    </w:p>
    <w:p>
      <w:pPr>
        <w:pStyle w:val="10"/>
        <w:spacing w:line="600" w:lineRule="exact"/>
        <w:ind w:firstLine="600" w:firstLineChars="200"/>
        <w:rPr>
          <w:rFonts w:hint="eastAsia" w:ascii="仿宋_GB2312" w:hAnsi="Times New Roman" w:eastAsia="仿宋_GB2312" w:cs="Times New Roman"/>
          <w:color w:val="auto"/>
          <w:szCs w:val="24"/>
          <w:highlight w:val="none"/>
          <w:lang w:val="en-US" w:eastAsia="zh-CN" w:bidi="ar-SA"/>
        </w:rPr>
      </w:pPr>
    </w:p>
    <w:p>
      <w:pPr>
        <w:pStyle w:val="10"/>
        <w:spacing w:line="600" w:lineRule="exact"/>
        <w:ind w:firstLine="600" w:firstLineChars="200"/>
        <w:rPr>
          <w:rFonts w:hint="eastAsia" w:ascii="仿宋_GB2312" w:hAnsi="Times New Roman" w:eastAsia="仿宋_GB2312" w:cs="Times New Roman"/>
          <w:color w:val="auto"/>
          <w:szCs w:val="24"/>
          <w:highlight w:val="none"/>
          <w:lang w:val="en-US" w:eastAsia="zh-CN" w:bidi="ar-SA"/>
        </w:rPr>
      </w:pPr>
    </w:p>
    <w:p>
      <w:pPr>
        <w:pStyle w:val="10"/>
        <w:spacing w:line="600" w:lineRule="exact"/>
        <w:ind w:firstLine="600" w:firstLineChars="200"/>
        <w:rPr>
          <w:rFonts w:hint="eastAsia" w:ascii="仿宋_GB2312" w:hAnsi="Times New Roman" w:eastAsia="仿宋_GB2312" w:cs="Times New Roman"/>
          <w:color w:val="auto"/>
          <w:szCs w:val="24"/>
          <w:highlight w:val="none"/>
          <w:lang w:val="en-US" w:eastAsia="zh-CN" w:bidi="ar-SA"/>
        </w:rPr>
      </w:pPr>
    </w:p>
    <w:p>
      <w:pPr>
        <w:pStyle w:val="10"/>
        <w:spacing w:line="600" w:lineRule="exact"/>
        <w:ind w:firstLine="600" w:firstLineChars="200"/>
        <w:rPr>
          <w:rFonts w:hint="eastAsia" w:ascii="仿宋_GB2312" w:hAnsi="Times New Roman" w:eastAsia="仿宋_GB2312" w:cs="Times New Roman"/>
          <w:color w:val="auto"/>
          <w:szCs w:val="24"/>
          <w:highlight w:val="none"/>
          <w:lang w:val="en-US" w:eastAsia="zh-CN" w:bidi="ar-SA"/>
        </w:rPr>
      </w:pPr>
    </w:p>
    <w:p>
      <w:pPr>
        <w:pStyle w:val="10"/>
        <w:spacing w:line="600" w:lineRule="exact"/>
        <w:ind w:firstLine="600" w:firstLineChars="200"/>
        <w:rPr>
          <w:rFonts w:hint="eastAsia" w:ascii="仿宋_GB2312" w:hAnsi="Times New Roman" w:eastAsia="仿宋_GB2312" w:cs="Times New Roman"/>
          <w:color w:val="auto"/>
          <w:szCs w:val="24"/>
          <w:highlight w:val="none"/>
          <w:lang w:val="en-US" w:eastAsia="zh-CN" w:bidi="ar-SA"/>
        </w:rPr>
      </w:pPr>
    </w:p>
    <w:p>
      <w:pPr>
        <w:pStyle w:val="10"/>
        <w:spacing w:line="600" w:lineRule="exact"/>
        <w:ind w:left="0" w:leftChars="0" w:firstLine="2108" w:firstLineChars="700"/>
        <w:rPr>
          <w:rFonts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en-US" w:eastAsia="zh-CN" w:bidi="ar-SA"/>
        </w:rPr>
        <w:t>网站建设经费评价得分情况</w:t>
      </w:r>
    </w:p>
    <w:tbl>
      <w:tblPr>
        <w:tblStyle w:val="7"/>
        <w:tblW w:w="0" w:type="auto"/>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备注</w:t>
            </w:r>
          </w:p>
        </w:tc>
      </w:tr>
      <w:tr>
        <w:tblPrEx>
          <w:tblCellMar>
            <w:top w:w="0" w:type="dxa"/>
            <w:left w:w="10" w:type="dxa"/>
            <w:bottom w:w="0" w:type="dxa"/>
            <w:right w:w="10" w:type="dxa"/>
          </w:tblCellMar>
        </w:tblPrEx>
        <w:trPr>
          <w:trHeight w:val="1088" w:hRule="exact"/>
          <w:jc w:val="center"/>
        </w:trPr>
        <w:tc>
          <w:tcPr>
            <w:tcW w:w="1447"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tcPr>
          <w:p>
            <w:pPr>
              <w:pStyle w:val="19"/>
              <w:spacing w:line="310" w:lineRule="exact"/>
              <w:ind w:firstLine="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w:t>
            </w:r>
          </w:p>
        </w:tc>
      </w:tr>
      <w:tr>
        <w:tblPrEx>
          <w:tblCellMar>
            <w:top w:w="0" w:type="dxa"/>
            <w:left w:w="10" w:type="dxa"/>
            <w:bottom w:w="0" w:type="dxa"/>
            <w:right w:w="10" w:type="dxa"/>
          </w:tblCellMar>
        </w:tblPrEx>
        <w:trPr>
          <w:trHeight w:val="1007" w:hRule="exact"/>
          <w:jc w:val="center"/>
        </w:trPr>
        <w:tc>
          <w:tcPr>
            <w:tcW w:w="1447" w:type="dxa"/>
            <w:tcBorders>
              <w:top w:val="single" w:color="auto" w:sz="4" w:space="0"/>
              <w:left w:val="single" w:color="auto" w:sz="4" w:space="0"/>
            </w:tcBorders>
            <w:shd w:val="clear" w:color="auto" w:fill="FFFFFF"/>
            <w:vAlign w:val="center"/>
          </w:tcPr>
          <w:p>
            <w:pPr>
              <w:pStyle w:val="19"/>
              <w:spacing w:line="240" w:lineRule="auto"/>
              <w:ind w:firstLine="380"/>
              <w:jc w:val="left"/>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17</w:t>
            </w:r>
          </w:p>
        </w:tc>
        <w:tc>
          <w:tcPr>
            <w:tcW w:w="3866" w:type="dxa"/>
            <w:tcBorders>
              <w:top w:val="single" w:color="auto" w:sz="4" w:space="0"/>
              <w:left w:val="single" w:color="auto" w:sz="4" w:space="0"/>
              <w:right w:val="single" w:color="auto" w:sz="4" w:space="0"/>
            </w:tcBorders>
            <w:shd w:val="clear" w:color="auto" w:fill="FFFFFF"/>
            <w:vAlign w:val="bottom"/>
          </w:tcPr>
          <w:p>
            <w:pPr>
              <w:pStyle w:val="19"/>
              <w:spacing w:line="310" w:lineRule="exact"/>
              <w:ind w:firstLine="0"/>
              <w:jc w:val="left"/>
              <w:rPr>
                <w:rFonts w:ascii="仿宋_GB2312" w:hAnsi="Times New Roman" w:eastAsia="仿宋_GB2312" w:cs="Times New Roman"/>
                <w:color w:val="auto"/>
                <w:szCs w:val="24"/>
                <w:highlight w:val="none"/>
                <w:lang w:val="en-US" w:eastAsia="zh-CN" w:bidi="ar-SA"/>
              </w:rPr>
            </w:pP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3866" w:type="dxa"/>
            <w:tcBorders>
              <w:top w:val="single" w:color="auto" w:sz="4" w:space="0"/>
              <w:left w:val="single" w:color="auto" w:sz="4" w:space="0"/>
              <w:right w:val="single" w:color="auto" w:sz="4" w:space="0"/>
            </w:tcBorders>
            <w:shd w:val="clear" w:color="auto" w:fill="FFFFFF"/>
            <w:vAlign w:val="center"/>
          </w:tcPr>
          <w:p>
            <w:pPr>
              <w:pStyle w:val="19"/>
              <w:spacing w:line="240" w:lineRule="auto"/>
              <w:ind w:firstLine="0"/>
              <w:rPr>
                <w:rFonts w:ascii="仿宋_GB2312" w:hAnsi="Times New Roman" w:eastAsia="仿宋_GB2312" w:cs="Times New Roman"/>
                <w:color w:val="auto"/>
                <w:szCs w:val="24"/>
                <w:highlight w:val="none"/>
                <w:lang w:val="en-US" w:eastAsia="zh-CN" w:bidi="ar-SA"/>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tcPr>
          <w:p>
            <w:pPr>
              <w:rPr>
                <w:rFonts w:ascii="仿宋_GB2312" w:hAnsi="Times New Roman" w:eastAsia="仿宋_GB2312"/>
                <w:color w:val="auto"/>
                <w:sz w:val="30"/>
                <w:szCs w:val="24"/>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100</w:t>
            </w:r>
          </w:p>
        </w:tc>
        <w:tc>
          <w:tcPr>
            <w:tcW w:w="3866" w:type="dxa"/>
            <w:tcBorders>
              <w:top w:val="single" w:color="auto" w:sz="4" w:space="0"/>
              <w:left w:val="single" w:color="auto" w:sz="4" w:space="0"/>
              <w:bottom w:val="single" w:color="auto" w:sz="4" w:space="0"/>
              <w:right w:val="single" w:color="auto" w:sz="4" w:space="0"/>
            </w:tcBorders>
            <w:shd w:val="clear" w:color="auto" w:fill="FFFFFF"/>
          </w:tcPr>
          <w:p>
            <w:pPr>
              <w:rPr>
                <w:rFonts w:ascii="仿宋_GB2312" w:hAnsi="Times New Roman" w:eastAsia="仿宋_GB2312"/>
                <w:color w:val="auto"/>
                <w:sz w:val="30"/>
                <w:szCs w:val="24"/>
                <w:highlight w:val="none"/>
              </w:rPr>
            </w:pPr>
          </w:p>
        </w:tc>
      </w:tr>
    </w:tbl>
    <w:p>
      <w:pPr>
        <w:pStyle w:val="10"/>
        <w:spacing w:line="598" w:lineRule="exact"/>
        <w:ind w:firstLine="700"/>
        <w:rPr>
          <w:rFonts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en-US" w:eastAsia="zh-CN" w:bidi="ar-SA"/>
        </w:rPr>
        <w:t>(二)评价结论</w:t>
      </w:r>
    </w:p>
    <w:p>
      <w:pPr>
        <w:pStyle w:val="10"/>
        <w:spacing w:line="598"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乌尔禾区人民政府办公室网站建设经费达到了年初设立的绩效目标，在实施过程中取得了良好的成效，具体表现在以下几点：</w:t>
      </w:r>
    </w:p>
    <w:p>
      <w:pPr>
        <w:pStyle w:val="10"/>
        <w:spacing w:line="598"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一是乌尔禾区人民政府办公室对项目实施情况进行中期检查时，计划项目总体进展顺利，总体执行情况处于中等。检查组主要从项目进度、组织、管理、资金使用等方面进行严格核查。</w:t>
      </w:r>
    </w:p>
    <w:p>
      <w:pPr>
        <w:pStyle w:val="10"/>
        <w:spacing w:line="600" w:lineRule="exact"/>
        <w:ind w:firstLine="600" w:firstLineChars="200"/>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二是对2020年网站建设经费进行验收，由专家组进行评审，各项目验收得分保持在90-100分之间,所有项目均通过验收。</w:t>
      </w:r>
    </w:p>
    <w:p>
      <w:pPr>
        <w:spacing w:line="600" w:lineRule="exact"/>
        <w:ind w:firstLine="600" w:firstLineChars="200"/>
        <w:rPr>
          <w:rFonts w:hint="eastAsia" w:ascii="黑体" w:hAnsi="黑体" w:eastAsia="黑体" w:cs="Times New Roman"/>
          <w:sz w:val="30"/>
          <w:szCs w:val="24"/>
          <w:highlight w:val="none"/>
          <w:lang w:val="en-US" w:eastAsia="zh-CN"/>
        </w:rPr>
      </w:pPr>
      <w:r>
        <w:rPr>
          <w:rFonts w:hint="eastAsia" w:ascii="黑体" w:hAnsi="黑体" w:eastAsia="黑体" w:cs="Times New Roman"/>
          <w:sz w:val="30"/>
          <w:szCs w:val="24"/>
          <w:highlight w:val="none"/>
          <w:lang w:val="en-US" w:eastAsia="zh-CN"/>
        </w:rPr>
        <w:t>四、绩效评价指标分析</w:t>
      </w:r>
    </w:p>
    <w:p>
      <w:pPr>
        <w:pStyle w:val="10"/>
        <w:spacing w:line="598"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（一）项目决策情况</w:t>
      </w:r>
    </w:p>
    <w:p>
      <w:pPr>
        <w:pStyle w:val="10"/>
        <w:spacing w:line="583" w:lineRule="exact"/>
        <w:ind w:left="0" w:leftChars="0"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1、立项依据充分性：项目立项符合关于</w:t>
      </w:r>
      <w:r>
        <w:rPr>
          <w:rFonts w:hint="eastAsia" w:ascii="仿宋_GB2312" w:hAnsi="Times New Roman" w:eastAsia="仿宋_GB2312"/>
          <w:sz w:val="30"/>
          <w:szCs w:val="24"/>
          <w:highlight w:val="none"/>
          <w:lang w:eastAsia="zh-CN"/>
        </w:rPr>
        <w:t>不断</w:t>
      </w:r>
      <w:r>
        <w:rPr>
          <w:rFonts w:hint="eastAsia" w:ascii="仿宋_GB2312" w:hAnsi="Times New Roman" w:eastAsia="仿宋_GB2312"/>
          <w:sz w:val="30"/>
          <w:szCs w:val="24"/>
          <w:highlight w:val="none"/>
        </w:rPr>
        <w:t>优化政府门户网站功能，实现资源整合、在线服务、信息公开、民主参与的功能。通过不断优化政府网站功能，促进政务信息公开，提高政务公开透明度和人民群众满意度</w:t>
      </w:r>
      <w:r>
        <w:rPr>
          <w:rFonts w:hint="eastAsia" w:ascii="仿宋_GB2312" w:hAnsi="Times New Roman" w:eastAsia="仿宋_GB2312" w:cs="Times New Roman"/>
          <w:szCs w:val="24"/>
          <w:highlight w:val="none"/>
          <w:lang w:val="en-US" w:eastAsia="zh-CN" w:bidi="ar-SA"/>
        </w:rPr>
        <w:t>以及部门职责。</w:t>
      </w:r>
    </w:p>
    <w:p>
      <w:pPr>
        <w:pStyle w:val="10"/>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2、立项程序规范性：项目申请、设立过程符合相关要求。</w:t>
      </w:r>
    </w:p>
    <w:p>
      <w:pPr>
        <w:pStyle w:val="10"/>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3、绩效目标合理性：项目所设定的绩效目标依据充分，符合客观实际。</w:t>
      </w:r>
    </w:p>
    <w:p>
      <w:pPr>
        <w:pStyle w:val="10"/>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4、绩效指标明确性：绩效指标清晰、细化、可衡量。</w:t>
      </w:r>
    </w:p>
    <w:p>
      <w:pPr>
        <w:pStyle w:val="10"/>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5、预算编制科学性：项目预算编制经过科学论证、有明确标准，资金额度与年度目标相适应；</w:t>
      </w:r>
    </w:p>
    <w:p>
      <w:pPr>
        <w:pStyle w:val="10"/>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6、资金分配合理性：项目预算资金分配有测算依据。</w:t>
      </w:r>
    </w:p>
    <w:p>
      <w:pPr>
        <w:pStyle w:val="10"/>
        <w:tabs>
          <w:tab w:val="left" w:pos="1527"/>
        </w:tabs>
        <w:spacing w:line="418" w:lineRule="auto"/>
        <w:ind w:firstLine="600" w:firstLineChars="200"/>
        <w:rPr>
          <w:rFonts w:hint="eastAsia" w:ascii="仿宋_GB2312" w:eastAsia="仿宋_GB2312"/>
          <w:color w:val="auto"/>
          <w:sz w:val="30"/>
          <w:szCs w:val="24"/>
          <w:highlight w:val="yellow"/>
          <w:lang w:val="en-US" w:eastAsia="zh-CN"/>
        </w:rPr>
      </w:pPr>
      <w:r>
        <w:rPr>
          <w:rFonts w:hint="eastAsia" w:ascii="仿宋_GB2312" w:hAnsi="Times New Roman" w:eastAsia="仿宋_GB2312" w:cs="Times New Roman"/>
          <w:szCs w:val="24"/>
          <w:highlight w:val="none"/>
          <w:lang w:val="en-US" w:eastAsia="zh-CN" w:bidi="ar-SA"/>
        </w:rPr>
        <w:t>本次评价认为；该项目符合项目立项，项目绩效目标设置、资金投入等方面相关规定。</w:t>
      </w:r>
    </w:p>
    <w:p>
      <w:pPr>
        <w:pStyle w:val="10"/>
        <w:spacing w:line="598"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（二）项目过程情况</w:t>
      </w:r>
    </w:p>
    <w:p>
      <w:pPr>
        <w:pStyle w:val="10"/>
        <w:spacing w:line="598" w:lineRule="exact"/>
        <w:ind w:firstLine="700"/>
        <w:rPr>
          <w:rFonts w:hint="eastAsia" w:ascii="仿宋_GB2312" w:eastAsia="仿宋_GB2312"/>
          <w:color w:val="auto"/>
          <w:sz w:val="30"/>
          <w:szCs w:val="24"/>
          <w:highlight w:val="none"/>
          <w:lang w:val="en-US" w:eastAsia="zh-CN"/>
        </w:rPr>
      </w:pPr>
      <w:r>
        <w:rPr>
          <w:rFonts w:hint="eastAsia" w:ascii="仿宋_GB2312" w:eastAsia="仿宋_GB2312"/>
          <w:color w:val="auto"/>
          <w:sz w:val="30"/>
          <w:szCs w:val="24"/>
          <w:highlight w:val="none"/>
          <w:lang w:val="en-US" w:eastAsia="zh-CN"/>
        </w:rPr>
        <w:t>1、资金到位及预算执行情况分析</w:t>
      </w:r>
    </w:p>
    <w:p>
      <w:pPr>
        <w:pStyle w:val="10"/>
        <w:spacing w:line="598" w:lineRule="exact"/>
        <w:ind w:firstLine="700"/>
        <w:rPr>
          <w:rFonts w:hint="eastAsia" w:ascii="仿宋_GB2312" w:eastAsia="仿宋_GB2312"/>
          <w:color w:val="auto"/>
          <w:sz w:val="30"/>
          <w:szCs w:val="24"/>
          <w:highlight w:val="none"/>
          <w:lang w:val="en-US" w:eastAsia="zh-CN"/>
        </w:rPr>
      </w:pPr>
      <w:r>
        <w:rPr>
          <w:rFonts w:hint="eastAsia" w:ascii="仿宋_GB2312" w:eastAsia="仿宋_GB2312"/>
          <w:color w:val="auto"/>
          <w:sz w:val="30"/>
          <w:szCs w:val="24"/>
          <w:highlight w:val="none"/>
          <w:lang w:val="en-US" w:eastAsia="zh-CN"/>
        </w:rPr>
        <w:t>项目资金预算数10万元，到位数10万元，资金到位率100%；预算执行数10万元，预算执行率100%。</w:t>
      </w:r>
    </w:p>
    <w:p>
      <w:pPr>
        <w:pStyle w:val="10"/>
        <w:spacing w:line="598" w:lineRule="exact"/>
        <w:ind w:firstLine="700"/>
        <w:rPr>
          <w:rFonts w:hint="eastAsia" w:ascii="仿宋_GB2312" w:eastAsia="仿宋_GB2312"/>
          <w:color w:val="auto"/>
          <w:sz w:val="30"/>
          <w:szCs w:val="24"/>
          <w:highlight w:val="none"/>
          <w:lang w:val="en-US" w:eastAsia="zh-CN"/>
        </w:rPr>
      </w:pPr>
      <w:r>
        <w:rPr>
          <w:rFonts w:hint="eastAsia" w:ascii="仿宋_GB2312" w:eastAsia="仿宋_GB2312"/>
          <w:color w:val="auto"/>
          <w:sz w:val="30"/>
          <w:szCs w:val="24"/>
          <w:highlight w:val="none"/>
          <w:lang w:val="en-US" w:eastAsia="zh-CN"/>
        </w:rPr>
        <w:t>2、项目组织情况分析</w:t>
      </w:r>
    </w:p>
    <w:p>
      <w:pPr>
        <w:pStyle w:val="10"/>
        <w:spacing w:line="598" w:lineRule="exact"/>
        <w:ind w:firstLine="700"/>
        <w:rPr>
          <w:rFonts w:hint="eastAsia" w:ascii="仿宋_GB2312" w:eastAsia="仿宋_GB2312"/>
          <w:color w:val="auto"/>
          <w:sz w:val="30"/>
          <w:szCs w:val="24"/>
          <w:highlight w:val="none"/>
          <w:lang w:val="en-US" w:eastAsia="zh-CN"/>
        </w:rPr>
      </w:pPr>
      <w:r>
        <w:rPr>
          <w:rFonts w:hint="eastAsia" w:ascii="仿宋_GB2312" w:eastAsia="仿宋_GB2312"/>
          <w:color w:val="auto"/>
          <w:sz w:val="30"/>
          <w:szCs w:val="24"/>
          <w:highlight w:val="none"/>
          <w:lang w:val="en-US" w:eastAsia="zh-CN"/>
        </w:rPr>
        <w:t>该项目在实施阶段均制定了具体的组织实施文件（申报指南、评审办法、立项文件等），各个立项项目均经过项目申报、项目评审、项目立项、资金拨付、项目验收等流程。其中项目申报环节以文件的形式下发申报指南，明确资金支付范围和重点、支持条件、组织方式和申报要求。项目评审环节严格执行相关考评办法，通过制定专家评审手册等文件，明确评审及现场考察工作程序及要求。项目后期管理环节包括监督、检查项目的执行情况，组织或委托第三方机构进行重点项目的监理或检查；协调解决项目执行中的重大问题，保障项目按进度正常进行；组织项目验收等。</w:t>
      </w:r>
    </w:p>
    <w:p>
      <w:pPr>
        <w:pStyle w:val="10"/>
        <w:spacing w:line="598" w:lineRule="exact"/>
        <w:ind w:firstLine="700"/>
        <w:rPr>
          <w:rFonts w:hint="eastAsia" w:ascii="仿宋_GB2312" w:eastAsia="仿宋_GB2312"/>
          <w:color w:val="auto"/>
          <w:sz w:val="30"/>
          <w:szCs w:val="24"/>
          <w:highlight w:val="none"/>
          <w:lang w:val="en-US" w:eastAsia="zh-CN"/>
        </w:rPr>
      </w:pPr>
      <w:r>
        <w:rPr>
          <w:rFonts w:hint="eastAsia" w:ascii="仿宋_GB2312" w:eastAsia="仿宋_GB2312"/>
          <w:color w:val="auto"/>
          <w:sz w:val="30"/>
          <w:szCs w:val="24"/>
          <w:highlight w:val="none"/>
          <w:lang w:val="en-US" w:eastAsia="zh-CN"/>
        </w:rPr>
        <w:t>本次评价认为：该项目组织机构设置合理，项目均按照流程执行，中期有检查，后期有验收。</w:t>
      </w:r>
    </w:p>
    <w:p>
      <w:pPr>
        <w:pStyle w:val="10"/>
        <w:spacing w:line="598" w:lineRule="exact"/>
        <w:ind w:firstLine="700"/>
        <w:rPr>
          <w:rFonts w:hint="eastAsia" w:ascii="仿宋_GB2312" w:eastAsia="仿宋_GB2312"/>
          <w:color w:val="auto"/>
          <w:sz w:val="30"/>
          <w:szCs w:val="24"/>
          <w:highlight w:val="none"/>
          <w:lang w:val="en-US" w:eastAsia="zh-CN"/>
        </w:rPr>
      </w:pPr>
      <w:r>
        <w:rPr>
          <w:rFonts w:hint="eastAsia" w:ascii="仿宋_GB2312" w:eastAsia="仿宋_GB2312"/>
          <w:color w:val="auto"/>
          <w:sz w:val="30"/>
          <w:szCs w:val="24"/>
          <w:highlight w:val="none"/>
          <w:lang w:val="en-US" w:eastAsia="zh-CN"/>
        </w:rPr>
        <w:t>3、项目管理情况分析</w:t>
      </w:r>
    </w:p>
    <w:p>
      <w:pPr>
        <w:pStyle w:val="10"/>
        <w:spacing w:line="598"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该项目制定了较为全面的管理制度，驻外办事处业务项目主要管理制度为《乌尔禾区项目管理办法》，制度文件规定了项目的组织与管理、立项与实施、跟踪与验收、监督与评价等内容；对实施项目资金的工作内容、奖励标准、控制环节作出了明确的规范要求，奖励标准的主要管理制度等，《乌尔禾区全面实施预算绩效管理实施方案的通知》（《克乌党发〔2018〕32号》）制度文件规定了项目的监督与处罚等内容。</w:t>
      </w:r>
    </w:p>
    <w:p>
      <w:pPr>
        <w:pStyle w:val="10"/>
        <w:spacing w:line="598"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本次评价认为：项目政策及管理办法基本完善，做到了对每个环节进行把控。</w:t>
      </w:r>
    </w:p>
    <w:p>
      <w:pPr>
        <w:spacing w:line="600" w:lineRule="exact"/>
        <w:ind w:firstLine="600" w:firstLineChars="200"/>
        <w:outlineLvl w:val="0"/>
        <w:rPr>
          <w:rFonts w:ascii="仿宋_GB2312" w:hAnsi="Times New Roman" w:eastAsia="仿宋_GB2312"/>
          <w:color w:val="auto"/>
          <w:sz w:val="30"/>
          <w:szCs w:val="24"/>
          <w:highlight w:val="yellow"/>
        </w:rPr>
      </w:pPr>
      <w:r>
        <w:rPr>
          <w:rFonts w:hint="eastAsia" w:ascii="仿宋_GB2312" w:hAnsi="Times New Roman" w:eastAsia="仿宋_GB2312"/>
          <w:color w:val="auto"/>
          <w:sz w:val="30"/>
          <w:szCs w:val="24"/>
          <w:highlight w:val="none"/>
        </w:rPr>
        <w:t>（三）项目产出情况</w:t>
      </w:r>
    </w:p>
    <w:p>
      <w:pPr>
        <w:spacing w:line="600" w:lineRule="exact"/>
        <w:ind w:firstLine="600" w:firstLineChars="200"/>
        <w:outlineLvl w:val="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项目产出数量、质量、时效、成本指标完成情况如下：</w:t>
      </w:r>
    </w:p>
    <w:p>
      <w:pPr>
        <w:spacing w:line="600" w:lineRule="exact"/>
        <w:ind w:firstLine="900" w:firstLineChars="300"/>
        <w:outlineLvl w:val="0"/>
        <w:rPr>
          <w:rFonts w:hint="eastAsia" w:ascii="仿宋_GB2312" w:hAnsi="Times New Roman" w:eastAsia="仿宋_GB2312" w:cs="Times New Roman"/>
          <w:color w:val="auto"/>
          <w:kern w:val="2"/>
          <w:sz w:val="30"/>
          <w:szCs w:val="24"/>
          <w:highlight w:val="none"/>
          <w:lang w:val="en-US" w:eastAsia="zh-CN" w:bidi="ar-SA"/>
        </w:rPr>
      </w:pPr>
      <w:bookmarkStart w:id="11" w:name="bookmark83"/>
      <w:r>
        <w:rPr>
          <w:rFonts w:hint="eastAsia" w:ascii="仿宋_GB2312" w:hAnsi="Times New Roman" w:eastAsia="仿宋_GB2312" w:cs="Times New Roman"/>
          <w:color w:val="auto"/>
          <w:kern w:val="2"/>
          <w:sz w:val="30"/>
          <w:szCs w:val="24"/>
          <w:highlight w:val="none"/>
          <w:lang w:val="en-US" w:eastAsia="zh-CN" w:bidi="ar-SA"/>
        </w:rPr>
        <w:t>数量指标：网站建设经费数量=1个，实际完成值1个，完成率100%。</w:t>
      </w:r>
    </w:p>
    <w:p>
      <w:pPr>
        <w:spacing w:line="600" w:lineRule="exact"/>
        <w:ind w:firstLine="600" w:firstLineChars="200"/>
        <w:outlineLvl w:val="0"/>
        <w:rPr>
          <w:rFonts w:hint="default"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质量指标：网站优化率指标值100%，实际完成值100%，完成率100%；网站运行率指标值100%，实际完成值100%，完成率100%；网络畅通率指标值100%，实际完成值100%，完成率100%。</w:t>
      </w:r>
    </w:p>
    <w:p>
      <w:pPr>
        <w:spacing w:line="600" w:lineRule="exact"/>
        <w:ind w:firstLine="600" w:firstLineChars="200"/>
        <w:outlineLvl w:val="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时效指标：</w:t>
      </w:r>
      <w:bookmarkEnd w:id="11"/>
      <w:r>
        <w:rPr>
          <w:rFonts w:hint="eastAsia" w:ascii="仿宋_GB2312" w:hAnsi="Times New Roman" w:eastAsia="仿宋_GB2312" w:cs="Times New Roman"/>
          <w:color w:val="auto"/>
          <w:kern w:val="2"/>
          <w:sz w:val="30"/>
          <w:szCs w:val="24"/>
          <w:highlight w:val="none"/>
          <w:lang w:val="en-US" w:eastAsia="zh-CN" w:bidi="ar-SA"/>
        </w:rPr>
        <w:t>网络运行时间指标值24小时，实际完成值24小时，完成率100%；网络故障修复时间指标值1天，实际完成值1天，完成率100%。</w:t>
      </w:r>
    </w:p>
    <w:p>
      <w:pPr>
        <w:spacing w:line="600" w:lineRule="exact"/>
        <w:ind w:firstLine="600" w:firstLineChars="200"/>
        <w:outlineLvl w:val="0"/>
        <w:rPr>
          <w:rFonts w:hint="default"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成本指标：网络每季度运行费指标值10万元，实际完成值10万元，完成率100%。</w:t>
      </w:r>
    </w:p>
    <w:p>
      <w:pPr>
        <w:spacing w:line="600" w:lineRule="exact"/>
        <w:ind w:firstLine="600" w:firstLineChars="200"/>
        <w:outlineLvl w:val="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截止2020年12月31日，根据设定数量指标已全部完成，得分7.14分；根据设定质量指标已全部完成，得分21.42分；根据设定时效指标已全部完成，得分14.28分；根据设定成本指标已全部完成，得分7.16分；项目产出情况合计得分50分。</w:t>
      </w:r>
    </w:p>
    <w:p>
      <w:pPr>
        <w:spacing w:line="600" w:lineRule="exact"/>
        <w:ind w:firstLine="600" w:firstLineChars="200"/>
        <w:outlineLvl w:val="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（四）项目效益情况</w:t>
      </w:r>
    </w:p>
    <w:p>
      <w:pPr>
        <w:spacing w:line="600" w:lineRule="exact"/>
        <w:ind w:firstLine="600" w:firstLineChars="200"/>
        <w:outlineLvl w:val="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项目经济效益、社会效益、生态效益、可持续影响指标完成情况如下：</w:t>
      </w:r>
    </w:p>
    <w:p>
      <w:pPr>
        <w:spacing w:line="600" w:lineRule="exact"/>
        <w:ind w:firstLine="600" w:firstLineChars="200"/>
        <w:outlineLvl w:val="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无经济效益指标。</w:t>
      </w:r>
    </w:p>
    <w:p>
      <w:pPr>
        <w:spacing w:line="600" w:lineRule="exact"/>
        <w:ind w:firstLine="600" w:firstLineChars="200"/>
        <w:outlineLvl w:val="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社会效益指标：维护网络安全指标值90%，实际完成值95%，完成率100%；业务保障能力指标值90%，实际完成值96%，完成率100%。</w:t>
      </w:r>
    </w:p>
    <w:p>
      <w:pPr>
        <w:spacing w:line="600" w:lineRule="exact"/>
        <w:ind w:firstLine="600" w:firstLineChars="200"/>
        <w:outlineLvl w:val="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无生态效益指标：</w:t>
      </w:r>
    </w:p>
    <w:p>
      <w:pPr>
        <w:spacing w:line="600" w:lineRule="exact"/>
        <w:ind w:firstLine="600" w:firstLineChars="200"/>
        <w:outlineLvl w:val="0"/>
        <w:rPr>
          <w:rFonts w:hint="default"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可持续影响指标：网络运行持续期指标值1年，实际完成值1年，完成率100%。</w:t>
      </w:r>
    </w:p>
    <w:p>
      <w:pPr>
        <w:spacing w:line="600" w:lineRule="exact"/>
        <w:ind w:firstLine="600" w:firstLineChars="200"/>
        <w:outlineLvl w:val="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截止2020年12月31日，根据设定经济效益指标无，得分0分；根据设定社会效益指标已全部完成，得分20分；根据设定生态效益指标无，得分0分；根据设定可持续影响指标已全部完成，得分10分；项目效益情况合计得分30分。</w:t>
      </w:r>
    </w:p>
    <w:p>
      <w:pPr>
        <w:spacing w:line="600" w:lineRule="exact"/>
        <w:ind w:firstLine="600" w:firstLineChars="200"/>
        <w:outlineLvl w:val="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（五）满意度情况</w:t>
      </w:r>
    </w:p>
    <w:p>
      <w:pPr>
        <w:spacing w:line="600" w:lineRule="exact"/>
        <w:ind w:firstLine="600" w:firstLineChars="200"/>
        <w:outlineLvl w:val="0"/>
        <w:rPr>
          <w:rFonts w:hint="default"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网站使用者满意度指标值90%，实际完成值96%，完成率100%;服务群众满意度指标值90%，实际完成值98%，完成率100%。</w:t>
      </w:r>
    </w:p>
    <w:p>
      <w:pPr>
        <w:spacing w:line="600" w:lineRule="exact"/>
        <w:ind w:firstLine="600" w:firstLineChars="200"/>
        <w:outlineLvl w:val="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截止2020年12月31日，根据设定该项目满意度指标已达到预期成效；满意度指标合计得分10分。</w:t>
      </w:r>
    </w:p>
    <w:p>
      <w:pPr>
        <w:spacing w:line="600" w:lineRule="exact"/>
        <w:ind w:firstLine="600" w:firstLineChars="200"/>
        <w:outlineLvl w:val="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（六）预算执行进度与绩效指标偏差</w:t>
      </w:r>
    </w:p>
    <w:p>
      <w:pPr>
        <w:spacing w:line="600" w:lineRule="exact"/>
        <w:ind w:firstLine="600" w:firstLineChars="200"/>
        <w:outlineLvl w:val="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预算执行进度100%，绩效指标执行进度100%，偏差0%。偏差存在原因：无。</w:t>
      </w:r>
      <w:bookmarkStart w:id="12" w:name="_GoBack"/>
      <w:bookmarkEnd w:id="12"/>
    </w:p>
    <w:p>
      <w:pPr>
        <w:numPr>
          <w:ilvl w:val="0"/>
          <w:numId w:val="4"/>
        </w:numPr>
        <w:spacing w:line="600" w:lineRule="exact"/>
        <w:ind w:firstLine="600" w:firstLineChars="200"/>
        <w:rPr>
          <w:rFonts w:hint="eastAsia" w:ascii="黑体" w:hAnsi="黑体" w:eastAsia="黑体" w:cs="Times New Roman"/>
          <w:sz w:val="30"/>
          <w:szCs w:val="24"/>
          <w:highlight w:val="none"/>
          <w:lang w:val="en-US" w:eastAsia="zh-CN"/>
        </w:rPr>
      </w:pPr>
      <w:r>
        <w:rPr>
          <w:rFonts w:hint="eastAsia" w:ascii="黑体" w:hAnsi="黑体" w:eastAsia="黑体" w:cs="Times New Roman"/>
          <w:sz w:val="30"/>
          <w:szCs w:val="24"/>
          <w:highlight w:val="none"/>
          <w:lang w:val="en-US" w:eastAsia="zh-CN"/>
        </w:rPr>
        <w:t>主要经验及做法、存在的问题及原因分析</w:t>
      </w:r>
    </w:p>
    <w:p>
      <w:pPr>
        <w:pStyle w:val="20"/>
        <w:spacing w:line="560" w:lineRule="exact"/>
        <w:ind w:left="42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（一）主要经验及做法</w:t>
      </w:r>
    </w:p>
    <w:p>
      <w:pPr>
        <w:pStyle w:val="15"/>
        <w:spacing w:line="520" w:lineRule="exact"/>
        <w:ind w:firstLine="64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1、严格执行财政部门下发的经费管理要求进行开支和管理，按照年初各部门详细填列预算开支项目，严格遵守节约制度，落实地方财政预算管理、采购管理、财务管理等相关管理制度。</w:t>
      </w:r>
    </w:p>
    <w:p>
      <w:pPr>
        <w:pStyle w:val="15"/>
        <w:spacing w:line="520" w:lineRule="exact"/>
        <w:ind w:firstLine="64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2、规范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pPr>
        <w:pStyle w:val="15"/>
        <w:spacing w:line="520" w:lineRule="exact"/>
        <w:ind w:firstLine="64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3、进一步完善绩效评价、监督机制等方面的制度建设，扩大绩效评价的范围，对项目实施效果进行绩效跟踪和多方评估。对部门预算安排的项目支出，项目实施单位除提供相关依据外，必须报送绩效报告。</w:t>
      </w:r>
    </w:p>
    <w:p>
      <w:pPr>
        <w:spacing w:line="600" w:lineRule="exact"/>
        <w:ind w:firstLine="600" w:firstLineChars="200"/>
        <w:outlineLvl w:val="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（二）存在问题及原因分析</w:t>
      </w:r>
    </w:p>
    <w:p>
      <w:pPr>
        <w:spacing w:line="600" w:lineRule="exact"/>
        <w:ind w:firstLine="600" w:firstLineChars="200"/>
        <w:outlineLvl w:val="0"/>
        <w:rPr>
          <w:rFonts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预算绩效管理有待提升。预算绩效管理水平不够，目标约束力不够强，绩效理念树立尚不牢固，年初项目绩效目标设置存在问题，产出指标中成本指标、时效指标均未设置，项目相关受益群体的满意度指标存不明确设置；自评表中指标完成值书写不规范，报告质量有待提高。</w:t>
      </w:r>
    </w:p>
    <w:p>
      <w:pPr>
        <w:numPr>
          <w:ilvl w:val="0"/>
          <w:numId w:val="4"/>
        </w:num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有关建议</w:t>
      </w:r>
    </w:p>
    <w:p>
      <w:pPr>
        <w:pStyle w:val="20"/>
        <w:spacing w:line="560" w:lineRule="exact"/>
        <w:ind w:left="420"/>
        <w:rPr>
          <w:rFonts w:hint="eastAsia" w:ascii="仿宋_GB2312" w:hAnsi="Times New Roman" w:eastAsia="仿宋_GB2312" w:cs="Times New Roman"/>
          <w:b w:val="0"/>
          <w:snapToGrid/>
          <w:color w:val="auto"/>
          <w:kern w:val="2"/>
          <w:sz w:val="30"/>
          <w:szCs w:val="24"/>
          <w:highlight w:val="none"/>
          <w:lang w:val="en-US" w:eastAsia="zh-CN" w:bidi="ar-SA"/>
        </w:rPr>
      </w:pPr>
      <w:r>
        <w:rPr>
          <w:rFonts w:hint="eastAsia" w:ascii="黑体" w:hAnsi="黑体" w:eastAsia="黑体" w:cs="Times New Roman"/>
          <w:b w:val="0"/>
          <w:snapToGrid/>
          <w:color w:val="auto"/>
          <w:kern w:val="2"/>
          <w:sz w:val="30"/>
          <w:szCs w:val="24"/>
          <w:highlight w:val="none"/>
          <w:lang w:val="en-US" w:eastAsia="zh-CN" w:bidi="ar-SA"/>
        </w:rPr>
        <w:t>1.</w:t>
      </w:r>
      <w:r>
        <w:rPr>
          <w:rFonts w:hint="eastAsia" w:ascii="仿宋_GB2312" w:hAnsi="Times New Roman" w:eastAsia="仿宋_GB2312" w:cs="Times New Roman"/>
          <w:b w:val="0"/>
          <w:snapToGrid/>
          <w:color w:val="auto"/>
          <w:kern w:val="2"/>
          <w:sz w:val="30"/>
          <w:szCs w:val="24"/>
          <w:highlight w:val="none"/>
          <w:lang w:val="en-US" w:eastAsia="zh-CN" w:bidi="ar-SA"/>
        </w:rPr>
        <w:t>预算安排和执行方面建议</w:t>
      </w:r>
    </w:p>
    <w:p>
      <w:pPr>
        <w:pStyle w:val="15"/>
        <w:spacing w:line="560" w:lineRule="exact"/>
        <w:ind w:firstLine="640"/>
        <w:rPr>
          <w:rFonts w:hint="eastAsia" w:ascii="仿宋_GB2312" w:hAnsi="Times New Roman" w:eastAsia="仿宋_GB2312" w:cs="Times New Roman"/>
          <w:b w:val="0"/>
          <w:snapToGrid/>
          <w:color w:val="auto"/>
          <w:kern w:val="2"/>
          <w:sz w:val="30"/>
          <w:szCs w:val="24"/>
          <w:highlight w:val="none"/>
          <w:lang w:val="en-US" w:eastAsia="zh-CN" w:bidi="ar-SA"/>
        </w:rPr>
      </w:pPr>
      <w:r>
        <w:rPr>
          <w:rFonts w:hint="eastAsia" w:ascii="仿宋_GB2312" w:hAnsi="Times New Roman" w:eastAsia="仿宋_GB2312" w:cs="Times New Roman"/>
          <w:b w:val="0"/>
          <w:snapToGrid/>
          <w:color w:val="auto"/>
          <w:kern w:val="2"/>
          <w:sz w:val="30"/>
          <w:szCs w:val="24"/>
          <w:highlight w:val="none"/>
          <w:lang w:val="en-US" w:eastAsia="zh-CN" w:bidi="ar-SA"/>
        </w:rPr>
        <w:t>严格按照预算管理规定进行立项确认。我单位办公室负责预算的编制、执行和上报等工作。在项目预算编制过程中,严格按照财政部门的相关要求坚持对项目先进行论证,结合论证情况编制预算,在预算安排中重点刚性支出,最后由财政部门结合我区财力情况进行预算安排。</w:t>
      </w:r>
    </w:p>
    <w:p>
      <w:pPr>
        <w:pStyle w:val="20"/>
        <w:spacing w:line="560" w:lineRule="exact"/>
        <w:ind w:left="420"/>
        <w:rPr>
          <w:rFonts w:hint="eastAsia" w:ascii="仿宋_GB2312" w:hAnsi="Times New Roman" w:eastAsia="仿宋_GB2312" w:cs="Times New Roman"/>
          <w:b w:val="0"/>
          <w:snapToGrid/>
          <w:color w:val="auto"/>
          <w:kern w:val="2"/>
          <w:sz w:val="30"/>
          <w:szCs w:val="24"/>
          <w:highlight w:val="none"/>
          <w:lang w:val="en-US" w:eastAsia="zh-CN" w:bidi="ar-SA"/>
        </w:rPr>
      </w:pPr>
      <w:r>
        <w:rPr>
          <w:rFonts w:hint="eastAsia" w:ascii="仿宋_GB2312" w:hAnsi="Times New Roman" w:eastAsia="仿宋_GB2312" w:cs="Times New Roman"/>
          <w:b w:val="0"/>
          <w:snapToGrid/>
          <w:color w:val="auto"/>
          <w:kern w:val="2"/>
          <w:sz w:val="30"/>
          <w:szCs w:val="24"/>
          <w:highlight w:val="none"/>
          <w:lang w:val="en-US" w:eastAsia="zh-CN" w:bidi="ar-SA"/>
        </w:rPr>
        <w:t>2.制度建设方面建议</w:t>
      </w:r>
    </w:p>
    <w:p>
      <w:pPr>
        <w:spacing w:line="560" w:lineRule="exact"/>
        <w:ind w:firstLine="640"/>
        <w:rPr>
          <w:rFonts w:hint="eastAsia" w:ascii="仿宋_GB2312" w:hAnsi="Times New Roman" w:eastAsia="仿宋_GB2312" w:cs="Times New Roman"/>
          <w:b w:val="0"/>
          <w:snapToGrid/>
          <w:color w:val="auto"/>
          <w:kern w:val="2"/>
          <w:sz w:val="30"/>
          <w:szCs w:val="24"/>
          <w:highlight w:val="none"/>
          <w:lang w:val="en-US" w:eastAsia="zh-CN" w:bidi="ar-SA"/>
        </w:rPr>
      </w:pPr>
      <w:r>
        <w:rPr>
          <w:rFonts w:hint="eastAsia" w:ascii="仿宋_GB2312" w:hAnsi="Times New Roman" w:eastAsia="仿宋_GB2312" w:cs="Times New Roman"/>
          <w:b w:val="0"/>
          <w:snapToGrid/>
          <w:color w:val="auto"/>
          <w:kern w:val="2"/>
          <w:sz w:val="30"/>
          <w:szCs w:val="24"/>
          <w:highlight w:val="none"/>
          <w:lang w:val="en-US" w:eastAsia="zh-CN" w:bidi="ar-SA"/>
        </w:rP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w:t>
      </w:r>
    </w:p>
    <w:p>
      <w:pPr>
        <w:pStyle w:val="15"/>
        <w:spacing w:line="560" w:lineRule="exact"/>
        <w:ind w:firstLine="643"/>
        <w:rPr>
          <w:rFonts w:hint="eastAsia" w:ascii="仿宋_GB2312" w:hAnsi="Times New Roman" w:eastAsia="仿宋_GB2312" w:cs="Times New Roman"/>
          <w:b w:val="0"/>
          <w:snapToGrid/>
          <w:color w:val="auto"/>
          <w:kern w:val="2"/>
          <w:sz w:val="30"/>
          <w:szCs w:val="24"/>
          <w:highlight w:val="none"/>
          <w:lang w:val="en-US" w:eastAsia="zh-CN" w:bidi="ar-SA"/>
        </w:rPr>
      </w:pPr>
      <w:r>
        <w:rPr>
          <w:rFonts w:hint="eastAsia" w:ascii="仿宋_GB2312" w:hAnsi="Times New Roman" w:eastAsia="仿宋_GB2312" w:cs="Times New Roman"/>
          <w:b w:val="0"/>
          <w:snapToGrid/>
          <w:color w:val="auto"/>
          <w:kern w:val="2"/>
          <w:sz w:val="30"/>
          <w:szCs w:val="24"/>
          <w:highlight w:val="none"/>
          <w:lang w:val="en-US" w:eastAsia="zh-CN" w:bidi="ar-SA"/>
        </w:rPr>
        <w:t>3.项目管理方面建议</w:t>
      </w:r>
    </w:p>
    <w:p>
      <w:pPr>
        <w:pStyle w:val="15"/>
        <w:spacing w:line="560" w:lineRule="exact"/>
        <w:ind w:firstLine="640"/>
        <w:rPr>
          <w:rFonts w:hint="eastAsia" w:ascii="仿宋_GB2312" w:hAnsi="Times New Roman" w:eastAsia="仿宋_GB2312" w:cs="Times New Roman"/>
          <w:b w:val="0"/>
          <w:snapToGrid/>
          <w:color w:val="auto"/>
          <w:kern w:val="2"/>
          <w:sz w:val="30"/>
          <w:szCs w:val="24"/>
          <w:highlight w:val="none"/>
          <w:lang w:val="en-US" w:eastAsia="zh-CN" w:bidi="ar-SA"/>
        </w:rPr>
      </w:pPr>
      <w:r>
        <w:rPr>
          <w:rFonts w:hint="eastAsia" w:ascii="仿宋_GB2312" w:hAnsi="Times New Roman" w:eastAsia="仿宋_GB2312" w:cs="Times New Roman"/>
          <w:b w:val="0"/>
          <w:snapToGrid/>
          <w:color w:val="auto"/>
          <w:kern w:val="2"/>
          <w:sz w:val="30"/>
          <w:szCs w:val="24"/>
          <w:highlight w:val="none"/>
          <w:lang w:val="en-US" w:eastAsia="zh-CN" w:bidi="ar-SA"/>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p>
    <w:p>
      <w:pPr>
        <w:pStyle w:val="20"/>
        <w:spacing w:line="560" w:lineRule="exact"/>
        <w:ind w:left="420"/>
        <w:rPr>
          <w:rFonts w:hint="eastAsia" w:ascii="仿宋_GB2312" w:hAnsi="Times New Roman" w:eastAsia="仿宋_GB2312" w:cs="Times New Roman"/>
          <w:b w:val="0"/>
          <w:snapToGrid/>
          <w:color w:val="auto"/>
          <w:kern w:val="2"/>
          <w:sz w:val="30"/>
          <w:szCs w:val="24"/>
          <w:highlight w:val="none"/>
          <w:lang w:val="en-US" w:eastAsia="zh-CN" w:bidi="ar-SA"/>
        </w:rPr>
      </w:pPr>
      <w:r>
        <w:rPr>
          <w:rFonts w:hint="eastAsia" w:ascii="仿宋_GB2312" w:hAnsi="Times New Roman" w:eastAsia="仿宋_GB2312" w:cs="Times New Roman"/>
          <w:b w:val="0"/>
          <w:snapToGrid/>
          <w:color w:val="auto"/>
          <w:kern w:val="2"/>
          <w:sz w:val="30"/>
          <w:szCs w:val="24"/>
          <w:highlight w:val="none"/>
          <w:lang w:val="en-US" w:eastAsia="zh-CN" w:bidi="ar-SA"/>
        </w:rPr>
        <w:t>4.资金管理方面建议</w:t>
      </w:r>
    </w:p>
    <w:p>
      <w:pPr>
        <w:pStyle w:val="15"/>
        <w:spacing w:line="560" w:lineRule="exact"/>
        <w:ind w:firstLine="640"/>
        <w:rPr>
          <w:rFonts w:hint="eastAsia" w:ascii="仿宋_GB2312" w:hAnsi="Times New Roman" w:eastAsia="仿宋_GB2312" w:cs="Times New Roman"/>
          <w:b w:val="0"/>
          <w:snapToGrid/>
          <w:color w:val="auto"/>
          <w:kern w:val="2"/>
          <w:sz w:val="30"/>
          <w:szCs w:val="24"/>
          <w:highlight w:val="none"/>
          <w:lang w:val="en-US" w:eastAsia="zh-CN" w:bidi="ar-SA"/>
        </w:rPr>
      </w:pPr>
      <w:r>
        <w:rPr>
          <w:rFonts w:hint="eastAsia" w:ascii="仿宋_GB2312" w:hAnsi="Times New Roman" w:eastAsia="仿宋_GB2312" w:cs="Times New Roman"/>
          <w:b w:val="0"/>
          <w:snapToGrid/>
          <w:color w:val="auto"/>
          <w:kern w:val="2"/>
          <w:sz w:val="30"/>
          <w:szCs w:val="24"/>
          <w:highlight w:val="none"/>
          <w:lang w:val="en-US" w:eastAsia="zh-CN" w:bidi="ar-SA"/>
        </w:rPr>
        <w:t>严格执行财政部门下发的经费管理要求进行开支和管理，按照年初部门详细填列预算开支项目，严格遵守节约制度，落实地方财政预算管理、采购管理、财务管理等相关管理制度。</w:t>
      </w:r>
    </w:p>
    <w:p>
      <w:pPr>
        <w:pStyle w:val="20"/>
        <w:spacing w:line="560" w:lineRule="exact"/>
        <w:ind w:left="420"/>
        <w:rPr>
          <w:rFonts w:hint="eastAsia" w:ascii="仿宋_GB2312" w:hAnsi="Times New Roman" w:eastAsia="仿宋_GB2312" w:cs="Times New Roman"/>
          <w:b w:val="0"/>
          <w:snapToGrid/>
          <w:color w:val="auto"/>
          <w:kern w:val="2"/>
          <w:sz w:val="30"/>
          <w:szCs w:val="24"/>
          <w:highlight w:val="none"/>
          <w:lang w:val="en-US" w:eastAsia="zh-CN" w:bidi="ar-SA"/>
        </w:rPr>
      </w:pPr>
      <w:r>
        <w:rPr>
          <w:rFonts w:hint="eastAsia" w:ascii="仿宋_GB2312" w:hAnsi="Times New Roman" w:eastAsia="仿宋_GB2312" w:cs="Times New Roman"/>
          <w:b w:val="0"/>
          <w:snapToGrid/>
          <w:color w:val="auto"/>
          <w:kern w:val="2"/>
          <w:sz w:val="30"/>
          <w:szCs w:val="24"/>
          <w:highlight w:val="none"/>
          <w:lang w:val="en-US" w:eastAsia="zh-CN" w:bidi="ar-SA"/>
        </w:rPr>
        <w:t>5.其他方面建议</w:t>
      </w:r>
    </w:p>
    <w:p>
      <w:pPr>
        <w:pStyle w:val="15"/>
        <w:spacing w:line="560" w:lineRule="exact"/>
        <w:ind w:firstLine="640"/>
        <w:rPr>
          <w:rFonts w:ascii="仿宋_GB2312" w:eastAsia="仿宋_GB2312"/>
          <w:color w:val="auto"/>
          <w:kern w:val="2"/>
          <w:sz w:val="30"/>
          <w:szCs w:val="24"/>
          <w:highlight w:val="yellow"/>
        </w:rPr>
      </w:pPr>
      <w:r>
        <w:rPr>
          <w:rFonts w:hint="eastAsia" w:ascii="仿宋_GB2312" w:hAnsi="Times New Roman" w:eastAsia="仿宋_GB2312" w:cs="Times New Roman"/>
          <w:b w:val="0"/>
          <w:snapToGrid/>
          <w:color w:val="auto"/>
          <w:kern w:val="2"/>
          <w:sz w:val="30"/>
          <w:szCs w:val="24"/>
          <w:highlight w:val="none"/>
          <w:lang w:val="en-US" w:eastAsia="zh-CN" w:bidi="ar-SA"/>
        </w:rPr>
        <w:t>加强绩效评价力度。加强对项目的绩效评价，保障财政资金更合理的应用到实处，希望区财政局加强绩效评价培训及指导。</w:t>
      </w:r>
    </w:p>
    <w:p>
      <w:pPr>
        <w:numPr>
          <w:ilvl w:val="0"/>
          <w:numId w:val="4"/>
        </w:num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其他需要说明的问题</w:t>
      </w:r>
    </w:p>
    <w:p>
      <w:pPr>
        <w:ind w:firstLine="600" w:firstLineChars="20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无</w:t>
      </w:r>
      <w:r>
        <w:rPr>
          <w:rFonts w:hint="eastAsia" w:ascii="仿宋_GB2312" w:hAnsi="Times New Roman" w:eastAsia="仿宋_GB2312"/>
          <w:color w:val="auto"/>
          <w:sz w:val="30"/>
          <w:szCs w:val="24"/>
          <w:highlight w:val="none"/>
          <w:lang w:eastAsia="zh-CN"/>
        </w:rPr>
        <w:t>。</w:t>
      </w:r>
    </w:p>
    <w:p>
      <w:pPr>
        <w:numPr>
          <w:ilvl w:val="0"/>
          <w:numId w:val="4"/>
        </w:numPr>
        <w:spacing w:line="500" w:lineRule="exact"/>
        <w:ind w:firstLine="600" w:firstLineChars="200"/>
        <w:rPr>
          <w:rFonts w:ascii="仿宋_GB2312" w:hAnsi="Times New Roman" w:eastAsia="仿宋_GB2312"/>
          <w:b/>
          <w:bCs/>
          <w:sz w:val="30"/>
          <w:szCs w:val="24"/>
          <w:highlight w:val="none"/>
        </w:rPr>
      </w:pPr>
      <w:r>
        <w:rPr>
          <w:rFonts w:hint="eastAsia" w:ascii="黑体" w:hAnsi="黑体" w:eastAsia="黑体" w:cs="黑体"/>
          <w:b w:val="0"/>
          <w:bCs w:val="0"/>
          <w:sz w:val="30"/>
          <w:szCs w:val="24"/>
          <w:highlight w:val="none"/>
        </w:rPr>
        <w:t>附件</w:t>
      </w:r>
    </w:p>
    <w:p>
      <w:pPr>
        <w:numPr>
          <w:ilvl w:val="0"/>
          <w:numId w:val="0"/>
        </w:numPr>
        <w:spacing w:line="500" w:lineRule="exact"/>
        <w:ind w:firstLine="600" w:firstLineChars="200"/>
        <w:rPr>
          <w:rFonts w:ascii="仿宋_GB2312" w:hAnsi="Times New Roman" w:eastAsia="仿宋_GB2312"/>
          <w:b/>
          <w:bCs/>
          <w:sz w:val="30"/>
          <w:szCs w:val="24"/>
          <w:highlight w:val="none"/>
        </w:rPr>
      </w:pPr>
      <w:r>
        <w:rPr>
          <w:rFonts w:hint="eastAsia" w:ascii="仿宋_GB2312" w:hAnsi="Times New Roman" w:eastAsia="仿宋_GB2312"/>
          <w:sz w:val="30"/>
          <w:szCs w:val="24"/>
          <w:highlight w:val="none"/>
        </w:rPr>
        <w:t>附件1《绩效评价指标体系》</w:t>
      </w:r>
    </w:p>
    <w:p>
      <w:pPr>
        <w:rPr>
          <w:rFonts w:hint="eastAsia" w:ascii="仿宋_GB2312" w:hAnsi="Times New Roman" w:eastAsia="仿宋_GB2312"/>
          <w:color w:val="auto"/>
          <w:sz w:val="30"/>
          <w:szCs w:val="24"/>
          <w:highlight w:val="none"/>
          <w:lang w:eastAsia="zh-CN"/>
        </w:rPr>
      </w:pPr>
    </w:p>
    <w:p>
      <w:pPr>
        <w:rPr>
          <w:rFonts w:hint="eastAsia" w:ascii="仿宋_GB2312" w:hAnsi="Times New Roman" w:eastAsia="仿宋_GB2312"/>
          <w:color w:val="auto"/>
          <w:sz w:val="30"/>
          <w:szCs w:val="24"/>
          <w:highlight w:val="none"/>
          <w:lang w:eastAsia="zh-CN"/>
        </w:rPr>
      </w:pPr>
    </w:p>
    <w:p>
      <w:pPr>
        <w:rPr>
          <w:rFonts w:hint="eastAsia" w:ascii="仿宋_GB2312" w:hAnsi="Times New Roman" w:eastAsia="仿宋_GB2312"/>
          <w:color w:val="auto"/>
          <w:sz w:val="30"/>
          <w:szCs w:val="24"/>
          <w:highlight w:val="none"/>
          <w:lang w:eastAsia="zh-CN"/>
        </w:rPr>
      </w:pPr>
    </w:p>
    <w:p>
      <w:pPr>
        <w:rPr>
          <w:rFonts w:hint="eastAsia" w:ascii="仿宋_GB2312" w:hAnsi="Times New Roman" w:eastAsia="仿宋_GB2312"/>
          <w:color w:val="auto"/>
          <w:sz w:val="30"/>
          <w:szCs w:val="24"/>
          <w:highlight w:val="none"/>
          <w:lang w:eastAsia="zh-CN"/>
        </w:rPr>
      </w:pPr>
    </w:p>
    <w:p>
      <w:pPr>
        <w:rPr>
          <w:rFonts w:hint="eastAsia" w:ascii="仿宋_GB2312" w:hAnsi="Times New Roman" w:eastAsia="仿宋_GB2312"/>
          <w:color w:val="auto"/>
          <w:sz w:val="30"/>
          <w:szCs w:val="24"/>
          <w:highlight w:val="none"/>
          <w:lang w:eastAsia="zh-CN"/>
        </w:rPr>
      </w:pPr>
    </w:p>
    <w:p>
      <w:pPr>
        <w:rPr>
          <w:rFonts w:hint="eastAsia" w:ascii="仿宋_GB2312" w:hAnsi="Times New Roman" w:eastAsia="仿宋_GB2312"/>
          <w:color w:val="auto"/>
          <w:sz w:val="30"/>
          <w:szCs w:val="24"/>
          <w:highlight w:val="none"/>
          <w:lang w:eastAsia="zh-CN"/>
        </w:rPr>
      </w:pPr>
    </w:p>
    <w:p>
      <w:pPr>
        <w:rPr>
          <w:rFonts w:hint="eastAsia" w:ascii="仿宋_GB2312" w:hAnsi="Times New Roman" w:eastAsia="仿宋_GB2312"/>
          <w:color w:val="auto"/>
          <w:sz w:val="30"/>
          <w:szCs w:val="24"/>
          <w:highlight w:val="none"/>
          <w:lang w:eastAsia="zh-CN"/>
        </w:rPr>
      </w:pPr>
    </w:p>
    <w:p>
      <w:pPr>
        <w:rPr>
          <w:rFonts w:hint="eastAsia" w:ascii="仿宋_GB2312" w:hAnsi="Times New Roman" w:eastAsia="仿宋_GB2312"/>
          <w:color w:val="auto"/>
          <w:sz w:val="30"/>
          <w:szCs w:val="24"/>
          <w:highlight w:val="none"/>
          <w:lang w:eastAsia="zh-CN"/>
        </w:rPr>
      </w:pPr>
    </w:p>
    <w:p>
      <w:pPr>
        <w:rPr>
          <w:rFonts w:hint="eastAsia" w:ascii="仿宋_GB2312" w:hAnsi="Times New Roman" w:eastAsia="仿宋_GB2312"/>
          <w:color w:val="auto"/>
          <w:sz w:val="30"/>
          <w:szCs w:val="24"/>
          <w:highlight w:val="none"/>
          <w:lang w:eastAsia="zh-CN"/>
        </w:rPr>
      </w:pPr>
    </w:p>
    <w:p>
      <w:pPr>
        <w:rPr>
          <w:rFonts w:hint="eastAsia" w:ascii="仿宋_GB2312" w:hAnsi="Times New Roman" w:eastAsia="仿宋_GB2312"/>
          <w:color w:val="auto"/>
          <w:sz w:val="30"/>
          <w:szCs w:val="24"/>
          <w:highlight w:val="none"/>
          <w:lang w:eastAsia="zh-CN"/>
        </w:rPr>
      </w:pPr>
    </w:p>
    <w:p>
      <w:pPr>
        <w:spacing w:line="500" w:lineRule="exact"/>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附件1</w:t>
      </w:r>
    </w:p>
    <w:p>
      <w:pPr>
        <w:spacing w:line="500" w:lineRule="exact"/>
        <w:ind w:left="420" w:leftChars="200" w:firstLine="2240" w:firstLineChars="700"/>
        <w:rPr>
          <w:rFonts w:ascii="仿宋_GB2312" w:hAnsi="Times New Roman" w:eastAsia="仿宋_GB2312"/>
          <w:color w:val="auto"/>
          <w:sz w:val="30"/>
          <w:szCs w:val="24"/>
          <w:highlight w:val="none"/>
        </w:rPr>
      </w:pPr>
      <w:r>
        <w:rPr>
          <w:color w:val="auto"/>
          <w:sz w:val="32"/>
          <w:szCs w:val="32"/>
          <w:highlight w:val="none"/>
        </w:rPr>
        <w:t>绩效评价指标体系</w:t>
      </w:r>
    </w:p>
    <w:tbl>
      <w:tblPr>
        <w:tblStyle w:val="7"/>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一级指标</w:t>
            </w:r>
          </w:p>
        </w:tc>
        <w:tc>
          <w:tcPr>
            <w:tcW w:w="1478" w:type="dxa"/>
            <w:shd w:val="clear" w:color="auto" w:fill="FFFFFF"/>
            <w:vAlign w:val="center"/>
          </w:tcPr>
          <w:p>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指标解释</w:t>
            </w:r>
          </w:p>
        </w:tc>
        <w:tc>
          <w:tcPr>
            <w:tcW w:w="990" w:type="dxa"/>
            <w:tcBorders>
              <w:left w:val="single" w:color="auto" w:sz="4" w:space="0"/>
            </w:tcBorders>
            <w:shd w:val="clear" w:color="auto" w:fill="FFFFFF"/>
          </w:tcPr>
          <w:p>
            <w:pPr>
              <w:widowControl/>
              <w:spacing w:line="600" w:lineRule="auto"/>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分值</w:t>
            </w:r>
          </w:p>
        </w:tc>
        <w:tc>
          <w:tcPr>
            <w:tcW w:w="874" w:type="dxa"/>
            <w:shd w:val="clear" w:color="auto" w:fill="FFFFFF"/>
          </w:tcPr>
          <w:p>
            <w:pPr>
              <w:widowControl/>
              <w:spacing w:line="600" w:lineRule="auto"/>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决策</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立项依据</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充分性</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auto" w:fill="FFFFFF"/>
          </w:tcPr>
          <w:p>
            <w:pPr>
              <w:spacing w:line="600" w:lineRule="auto"/>
              <w:jc w:val="center"/>
              <w:rPr>
                <w:color w:val="auto"/>
                <w:highlight w:val="none"/>
              </w:rPr>
            </w:pPr>
            <w:r>
              <w:rPr>
                <w:rFonts w:hint="eastAsia"/>
                <w:color w:val="auto"/>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立项程序</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规范性</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color w:val="auto"/>
                <w:highlight w:val="none"/>
              </w:rPr>
            </w:pPr>
            <w:r>
              <w:rPr>
                <w:color w:val="auto"/>
                <w:highlight w:val="none"/>
              </w:rPr>
              <w:t>3</w:t>
            </w:r>
          </w:p>
        </w:tc>
        <w:tc>
          <w:tcPr>
            <w:tcW w:w="874" w:type="dxa"/>
            <w:shd w:val="clear" w:color="auto" w:fill="FFFFFF"/>
          </w:tcPr>
          <w:p>
            <w:pPr>
              <w:spacing w:line="600" w:lineRule="auto"/>
              <w:jc w:val="center"/>
              <w:rPr>
                <w:color w:val="auto"/>
                <w:highlight w:val="none"/>
              </w:rPr>
            </w:pPr>
            <w:r>
              <w:rPr>
                <w:rFonts w:hint="eastAsia"/>
                <w:color w:val="auto"/>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绩效目标</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合理性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5</w:t>
            </w:r>
          </w:p>
        </w:tc>
        <w:tc>
          <w:tcPr>
            <w:tcW w:w="874" w:type="dxa"/>
            <w:shd w:val="clear" w:color="000000" w:fill="FFFFFF"/>
          </w:tcPr>
          <w:p>
            <w:pPr>
              <w:spacing w:line="600" w:lineRule="auto"/>
              <w:jc w:val="center"/>
              <w:rPr>
                <w:color w:val="auto"/>
                <w:highlight w:val="none"/>
              </w:rPr>
            </w:pPr>
            <w:r>
              <w:rPr>
                <w:rFonts w:hint="eastAsia"/>
                <w:color w:val="auto"/>
                <w:highlight w:val="none"/>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绩效指标</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明确性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tcPr>
          <w:p>
            <w:pPr>
              <w:spacing w:line="600" w:lineRule="auto"/>
              <w:jc w:val="center"/>
              <w:rPr>
                <w:color w:val="auto"/>
                <w:highlight w:val="none"/>
              </w:rPr>
            </w:pPr>
            <w:r>
              <w:rPr>
                <w:rFonts w:hint="eastAsia"/>
                <w:color w:val="auto"/>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资金投入</w:t>
            </w:r>
          </w:p>
          <w:p>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预算编制</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科学性</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auto" w:fill="FFFFFF"/>
          </w:tcPr>
          <w:p>
            <w:pPr>
              <w:spacing w:line="600" w:lineRule="auto"/>
              <w:jc w:val="center"/>
              <w:rPr>
                <w:color w:val="auto"/>
                <w:highlight w:val="none"/>
              </w:rPr>
            </w:pPr>
            <w:r>
              <w:rPr>
                <w:rFonts w:hint="eastAsia"/>
                <w:color w:val="auto"/>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资金分配</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合理性</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color w:val="auto"/>
                <w:highlight w:val="none"/>
              </w:rPr>
            </w:pPr>
            <w:r>
              <w:rPr>
                <w:color w:val="auto"/>
                <w:highlight w:val="none"/>
              </w:rPr>
              <w:t>4</w:t>
            </w:r>
          </w:p>
        </w:tc>
        <w:tc>
          <w:tcPr>
            <w:tcW w:w="874" w:type="dxa"/>
            <w:shd w:val="clear" w:color="auto" w:fill="FFFFFF"/>
          </w:tcPr>
          <w:p>
            <w:pPr>
              <w:spacing w:line="600" w:lineRule="auto"/>
              <w:jc w:val="center"/>
              <w:rPr>
                <w:color w:val="auto"/>
                <w:highlight w:val="none"/>
              </w:rPr>
            </w:pPr>
            <w:r>
              <w:rPr>
                <w:rFonts w:hint="eastAsia"/>
                <w:color w:val="auto"/>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过程</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资金到位率</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000000" w:fill="FFFFFF"/>
          </w:tcPr>
          <w:p>
            <w:pPr>
              <w:spacing w:line="600" w:lineRule="auto"/>
              <w:jc w:val="center"/>
              <w:rPr>
                <w:color w:val="auto"/>
                <w:highlight w:val="none"/>
              </w:rPr>
            </w:pPr>
            <w:r>
              <w:rPr>
                <w:rFonts w:hint="eastAsia"/>
                <w:color w:val="auto"/>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pPr>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预算执行率</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color w:val="auto"/>
                <w:highlight w:val="none"/>
              </w:rPr>
            </w:pPr>
            <w:r>
              <w:rPr>
                <w:color w:val="auto"/>
                <w:highlight w:val="none"/>
              </w:rPr>
              <w:t>5</w:t>
            </w:r>
          </w:p>
        </w:tc>
        <w:tc>
          <w:tcPr>
            <w:tcW w:w="874" w:type="dxa"/>
            <w:tcBorders>
              <w:bottom w:val="single" w:color="auto" w:sz="4" w:space="0"/>
            </w:tcBorders>
            <w:shd w:val="clear" w:color="auto" w:fill="FFFFFF"/>
          </w:tcPr>
          <w:p>
            <w:pPr>
              <w:spacing w:line="600" w:lineRule="auto"/>
              <w:jc w:val="center"/>
              <w:rPr>
                <w:color w:val="auto"/>
                <w:highlight w:val="none"/>
              </w:rPr>
            </w:pPr>
            <w:r>
              <w:rPr>
                <w:rFonts w:hint="eastAsia"/>
                <w:color w:val="auto"/>
                <w:highlight w:val="none"/>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highlight w:val="none"/>
              </w:rPr>
            </w:pPr>
          </w:p>
        </w:tc>
        <w:tc>
          <w:tcPr>
            <w:tcW w:w="1478" w:type="dxa"/>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资金使用</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合规性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tcPr>
          <w:p>
            <w:pPr>
              <w:spacing w:line="600" w:lineRule="auto"/>
              <w:jc w:val="center"/>
              <w:rPr>
                <w:color w:val="auto"/>
                <w:highlight w:val="none"/>
              </w:rPr>
            </w:pPr>
            <w:r>
              <w:rPr>
                <w:rFonts w:hint="eastAsia"/>
                <w:color w:val="auto"/>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组织实施</w:t>
            </w:r>
          </w:p>
          <w:p>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管理制度</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健全性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tcPr>
          <w:p>
            <w:pPr>
              <w:spacing w:line="600" w:lineRule="auto"/>
              <w:jc w:val="center"/>
              <w:rPr>
                <w:rFonts w:hint="eastAsia" w:eastAsia="宋体"/>
                <w:color w:val="auto"/>
                <w:highlight w:val="none"/>
                <w:lang w:eastAsia="zh-CN"/>
              </w:rPr>
            </w:pPr>
            <w:r>
              <w:rPr>
                <w:rFonts w:hint="eastAsia"/>
                <w:color w:val="auto"/>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制度执行</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有效性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2</w:t>
            </w:r>
          </w:p>
        </w:tc>
        <w:tc>
          <w:tcPr>
            <w:tcW w:w="874" w:type="dxa"/>
            <w:tcBorders>
              <w:bottom w:val="single" w:color="auto" w:sz="4" w:space="0"/>
            </w:tcBorders>
            <w:shd w:val="clear" w:color="000000" w:fill="FFFFFF"/>
          </w:tcPr>
          <w:p>
            <w:pPr>
              <w:spacing w:line="600" w:lineRule="auto"/>
              <w:jc w:val="center"/>
              <w:rPr>
                <w:color w:val="auto"/>
                <w:highlight w:val="none"/>
              </w:rPr>
            </w:pPr>
            <w:r>
              <w:rPr>
                <w:rFonts w:hint="eastAsia"/>
                <w:color w:val="auto"/>
                <w:highlight w:val="none"/>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w:t>
            </w:r>
          </w:p>
        </w:tc>
        <w:tc>
          <w:tcPr>
            <w:tcW w:w="1478" w:type="dxa"/>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实际完成率</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8</w:t>
            </w:r>
          </w:p>
        </w:tc>
        <w:tc>
          <w:tcPr>
            <w:tcW w:w="874" w:type="dxa"/>
            <w:shd w:val="clear" w:color="000000" w:fill="FFFFFF"/>
          </w:tcPr>
          <w:p>
            <w:pPr>
              <w:spacing w:line="600" w:lineRule="auto"/>
              <w:jc w:val="center"/>
              <w:rPr>
                <w:color w:val="auto"/>
                <w:highlight w:val="none"/>
              </w:rPr>
            </w:pPr>
            <w:r>
              <w:rPr>
                <w:rFonts w:hint="eastAsia"/>
                <w:color w:val="auto"/>
                <w:highlight w:val="none"/>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478" w:type="dxa"/>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质量达标率</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7</w:t>
            </w:r>
          </w:p>
        </w:tc>
        <w:tc>
          <w:tcPr>
            <w:tcW w:w="874" w:type="dxa"/>
            <w:shd w:val="clear" w:color="000000" w:fill="FFFFFF"/>
          </w:tcPr>
          <w:p>
            <w:pPr>
              <w:spacing w:line="600" w:lineRule="auto"/>
              <w:jc w:val="center"/>
              <w:rPr>
                <w:color w:val="auto"/>
                <w:highlight w:val="none"/>
              </w:rPr>
            </w:pPr>
            <w:r>
              <w:rPr>
                <w:rFonts w:hint="eastAsia"/>
                <w:color w:val="auto"/>
                <w:highlight w:val="none"/>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highlight w:val="none"/>
              </w:rPr>
            </w:pPr>
          </w:p>
        </w:tc>
        <w:tc>
          <w:tcPr>
            <w:tcW w:w="1478" w:type="dxa"/>
            <w:shd w:val="clear" w:color="auto" w:fill="FFFFFF"/>
            <w:vAlign w:val="center"/>
          </w:tcPr>
          <w:p>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完成及时性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8</w:t>
            </w:r>
          </w:p>
        </w:tc>
        <w:tc>
          <w:tcPr>
            <w:tcW w:w="874" w:type="dxa"/>
            <w:shd w:val="clear" w:color="000000" w:fill="FFFFFF"/>
          </w:tcPr>
          <w:p>
            <w:pPr>
              <w:spacing w:line="600" w:lineRule="auto"/>
              <w:jc w:val="center"/>
              <w:rPr>
                <w:color w:val="auto"/>
                <w:highlight w:val="none"/>
              </w:rPr>
            </w:pPr>
            <w:r>
              <w:rPr>
                <w:rFonts w:hint="eastAsia"/>
                <w:color w:val="auto"/>
                <w:highlight w:val="none"/>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478" w:type="dxa"/>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成本节约率</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color w:val="auto"/>
                <w:highlight w:val="none"/>
              </w:rPr>
            </w:pPr>
            <w:r>
              <w:rPr>
                <w:color w:val="auto"/>
                <w:highlight w:val="none"/>
              </w:rPr>
              <w:t>7</w:t>
            </w:r>
          </w:p>
        </w:tc>
        <w:tc>
          <w:tcPr>
            <w:tcW w:w="874" w:type="dxa"/>
            <w:shd w:val="clear" w:color="auto" w:fill="FFFFFF"/>
          </w:tcPr>
          <w:p>
            <w:pPr>
              <w:spacing w:line="600" w:lineRule="auto"/>
              <w:jc w:val="center"/>
              <w:rPr>
                <w:color w:val="auto"/>
                <w:highlight w:val="none"/>
              </w:rPr>
            </w:pPr>
            <w:r>
              <w:rPr>
                <w:rFonts w:hint="eastAsia"/>
                <w:color w:val="auto"/>
                <w:highlight w:val="none"/>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2"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效益　</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项目实施所产生的效益。</w:t>
            </w:r>
          </w:p>
        </w:tc>
        <w:tc>
          <w:tcPr>
            <w:tcW w:w="990" w:type="dxa"/>
            <w:tcBorders>
              <w:left w:val="single" w:color="auto" w:sz="4" w:space="0"/>
            </w:tcBorders>
            <w:shd w:val="clear" w:color="auto" w:fill="FFFFFF"/>
          </w:tcPr>
          <w:p>
            <w:pPr>
              <w:spacing w:line="600" w:lineRule="auto"/>
              <w:jc w:val="center"/>
              <w:rPr>
                <w:color w:val="auto"/>
                <w:highlight w:val="none"/>
              </w:rPr>
            </w:pPr>
            <w:r>
              <w:rPr>
                <w:color w:val="auto"/>
                <w:highlight w:val="none"/>
              </w:rPr>
              <w:t>20</w:t>
            </w:r>
          </w:p>
        </w:tc>
        <w:tc>
          <w:tcPr>
            <w:tcW w:w="874" w:type="dxa"/>
            <w:shd w:val="clear" w:color="auto" w:fill="FFFFFF"/>
          </w:tcPr>
          <w:p>
            <w:pPr>
              <w:spacing w:line="600" w:lineRule="auto"/>
              <w:jc w:val="center"/>
              <w:rPr>
                <w:color w:val="auto"/>
                <w:highlight w:val="none"/>
              </w:rPr>
            </w:pPr>
            <w:r>
              <w:rPr>
                <w:rFonts w:hint="eastAsia"/>
                <w:color w:val="auto"/>
                <w:highlight w:val="none"/>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满意度</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color w:val="auto"/>
                <w:highlight w:val="none"/>
              </w:rPr>
            </w:pPr>
            <w:r>
              <w:rPr>
                <w:color w:val="auto"/>
                <w:highlight w:val="none"/>
              </w:rPr>
              <w:t>10</w:t>
            </w:r>
          </w:p>
        </w:tc>
        <w:tc>
          <w:tcPr>
            <w:tcW w:w="874" w:type="dxa"/>
            <w:shd w:val="clear" w:color="000000" w:fill="FFFFFF"/>
          </w:tcPr>
          <w:p>
            <w:pPr>
              <w:spacing w:line="600" w:lineRule="auto"/>
              <w:jc w:val="center"/>
              <w:rPr>
                <w:color w:val="auto"/>
                <w:highlight w:val="none"/>
              </w:rPr>
            </w:pPr>
            <w:r>
              <w:rPr>
                <w:rFonts w:hint="eastAsia"/>
                <w:color w:val="auto"/>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b/>
                <w:bCs/>
                <w:color w:val="auto"/>
                <w:kern w:val="0"/>
                <w:sz w:val="22"/>
                <w:highlight w:val="none"/>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highlight w:val="none"/>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100</w:t>
            </w:r>
          </w:p>
        </w:tc>
        <w:tc>
          <w:tcPr>
            <w:tcW w:w="874" w:type="dxa"/>
            <w:shd w:val="clear" w:color="auto" w:fill="FFFFFF"/>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100</w:t>
            </w:r>
          </w:p>
        </w:tc>
      </w:tr>
    </w:tbl>
    <w:p>
      <w:pPr>
        <w:rPr>
          <w:color w:val="auto"/>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3750945</wp:posOffset>
              </wp:positionH>
              <wp:positionV relativeFrom="page">
                <wp:posOffset>9863455</wp:posOffset>
              </wp:positionV>
              <wp:extent cx="173990" cy="73025"/>
              <wp:effectExtent l="0" t="0" r="0" b="0"/>
              <wp:wrapNone/>
              <wp:docPr id="11" name="Shape 11"/>
              <wp:cNvGraphicFramePr/>
              <a:graphic xmlns:a="http://schemas.openxmlformats.org/drawingml/2006/main">
                <a:graphicData uri="http://schemas.microsoft.com/office/word/2010/wordprocessingShape">
                  <wps:wsp>
                    <wps:cNvSpPr txBox="1"/>
                    <wps:spPr>
                      <a:xfrm>
                        <a:off x="0" y="0"/>
                        <a:ext cx="173990" cy="73025"/>
                      </a:xfrm>
                      <a:prstGeom prst="rect">
                        <a:avLst/>
                      </a:prstGeom>
                      <a:noFill/>
                      <a:ln>
                        <a:noFill/>
                      </a:ln>
                      <a:effectLst/>
                    </wps:spPr>
                    <wps:txbx>
                      <w:txbxContent>
                        <w:p>
                          <w:pPr>
                            <w:pStyle w:val="16"/>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16</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wps:txbx>
                    <wps:bodyPr wrap="none" lIns="0" tIns="0" rIns="0" bIns="0">
                      <a:spAutoFit/>
                    </wps:bodyPr>
                  </wps:wsp>
                </a:graphicData>
              </a:graphic>
            </wp:anchor>
          </w:drawing>
        </mc:Choice>
        <mc:Fallback>
          <w:pict>
            <v:shape id="Shape 11" o:spid="_x0000_s1026" o:spt="202" type="#_x0000_t202" style="position:absolute;left:0pt;margin-left:295.35pt;margin-top:776.65pt;height:5.75pt;width:13.7pt;mso-position-horizontal-relative:page;mso-position-vertical-relative:page;mso-wrap-style:none;z-index:-251657216;mso-width-relative:page;mso-height-relative:page;" filled="f" stroked="f" coordsize="21600,21600" o:gfxdata="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O40ktgAAAANAQAADwAAAAAAAAABACAAAAAiAAAAZHJzL2Rvd25yZXYueG1sUEsBAhQA&#10;FAAAAAgAh07iQHAT5aK5AQAAlgMAAA4AAAAAAAAAAQAgAAAAJwEAAGRycy9lMm9Eb2MueG1sUEsF&#10;BgAAAAAGAAYAWQEAAFIFAAAAAA==&#10;">
              <v:fill on="f" focussize="0,0"/>
              <v:stroke on="f"/>
              <v:imagedata o:title=""/>
              <o:lock v:ext="edit" aspectratio="f"/>
              <v:textbox inset="0mm,0mm,0mm,0mm" style="mso-fit-shape-to-text:t;">
                <w:txbxContent>
                  <w:p>
                    <w:pPr>
                      <w:pStyle w:val="16"/>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16</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AFB85F"/>
    <w:multiLevelType w:val="singleLevel"/>
    <w:tmpl w:val="BBAFB85F"/>
    <w:lvl w:ilvl="0" w:tentative="0">
      <w:start w:val="5"/>
      <w:numFmt w:val="chineseCounting"/>
      <w:suff w:val="nothing"/>
      <w:lvlText w:val="%1、"/>
      <w:lvlJc w:val="left"/>
      <w:rPr>
        <w:rFonts w:hint="eastAsia"/>
      </w:rPr>
    </w:lvl>
  </w:abstractNum>
  <w:abstractNum w:abstractNumId="1">
    <w:nsid w:val="40400BF9"/>
    <w:multiLevelType w:val="multilevel"/>
    <w:tmpl w:val="40400BF9"/>
    <w:lvl w:ilvl="0" w:tentative="0">
      <w:start w:val="1"/>
      <w:numFmt w:val="decimal"/>
      <w:suff w:val="nothing"/>
      <w:lvlText w:val="%1、"/>
      <w:lvlJc w:val="left"/>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453A014"/>
    <w:multiLevelType w:val="singleLevel"/>
    <w:tmpl w:val="4453A014"/>
    <w:lvl w:ilvl="0" w:tentative="0">
      <w:start w:val="5"/>
      <w:numFmt w:val="decimal"/>
      <w:suff w:val="nothing"/>
      <w:lvlText w:val="%1、"/>
      <w:lvlJc w:val="left"/>
    </w:lvl>
  </w:abstractNum>
  <w:abstractNum w:abstractNumId="3">
    <w:nsid w:val="579DA81A"/>
    <w:multiLevelType w:val="singleLevel"/>
    <w:tmpl w:val="579DA81A"/>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A91"/>
    <w:rsid w:val="000043E2"/>
    <w:rsid w:val="000212A7"/>
    <w:rsid w:val="0006699A"/>
    <w:rsid w:val="000C407D"/>
    <w:rsid w:val="000D3FF4"/>
    <w:rsid w:val="00164F1B"/>
    <w:rsid w:val="00197C8B"/>
    <w:rsid w:val="00217E4B"/>
    <w:rsid w:val="00226DD0"/>
    <w:rsid w:val="002301DF"/>
    <w:rsid w:val="0024759D"/>
    <w:rsid w:val="00266529"/>
    <w:rsid w:val="002C496D"/>
    <w:rsid w:val="00303078"/>
    <w:rsid w:val="003F6489"/>
    <w:rsid w:val="004A240F"/>
    <w:rsid w:val="005257A6"/>
    <w:rsid w:val="00534018"/>
    <w:rsid w:val="00536342"/>
    <w:rsid w:val="00560DDB"/>
    <w:rsid w:val="005E4D2E"/>
    <w:rsid w:val="006200AE"/>
    <w:rsid w:val="0066376A"/>
    <w:rsid w:val="00677E0F"/>
    <w:rsid w:val="007D07AE"/>
    <w:rsid w:val="00836B50"/>
    <w:rsid w:val="008451D1"/>
    <w:rsid w:val="008C5F9C"/>
    <w:rsid w:val="009112A6"/>
    <w:rsid w:val="00912713"/>
    <w:rsid w:val="009814AD"/>
    <w:rsid w:val="009A0DBA"/>
    <w:rsid w:val="00A36F50"/>
    <w:rsid w:val="00AD5F72"/>
    <w:rsid w:val="00B12990"/>
    <w:rsid w:val="00C91908"/>
    <w:rsid w:val="00CE61F8"/>
    <w:rsid w:val="00CF1A91"/>
    <w:rsid w:val="00CF6029"/>
    <w:rsid w:val="00D46CED"/>
    <w:rsid w:val="00D731D6"/>
    <w:rsid w:val="00DB04E1"/>
    <w:rsid w:val="00DC34FC"/>
    <w:rsid w:val="00E70268"/>
    <w:rsid w:val="00EC4C2A"/>
    <w:rsid w:val="00EE5828"/>
    <w:rsid w:val="00EF545B"/>
    <w:rsid w:val="00F01A7A"/>
    <w:rsid w:val="00FD2D18"/>
    <w:rsid w:val="014B3FF4"/>
    <w:rsid w:val="02D24935"/>
    <w:rsid w:val="03C574CE"/>
    <w:rsid w:val="03CB5727"/>
    <w:rsid w:val="03E14134"/>
    <w:rsid w:val="04214E13"/>
    <w:rsid w:val="047870DF"/>
    <w:rsid w:val="05560579"/>
    <w:rsid w:val="056B0A38"/>
    <w:rsid w:val="05C24D86"/>
    <w:rsid w:val="08435AFD"/>
    <w:rsid w:val="09D07F19"/>
    <w:rsid w:val="09D37EB7"/>
    <w:rsid w:val="0A013762"/>
    <w:rsid w:val="0ADF4EFB"/>
    <w:rsid w:val="0CA9025E"/>
    <w:rsid w:val="0D1C2875"/>
    <w:rsid w:val="0DE4036E"/>
    <w:rsid w:val="0DE76D07"/>
    <w:rsid w:val="0F2424BE"/>
    <w:rsid w:val="0F9D4578"/>
    <w:rsid w:val="1172358F"/>
    <w:rsid w:val="11984B4D"/>
    <w:rsid w:val="11A84B34"/>
    <w:rsid w:val="11CE30D9"/>
    <w:rsid w:val="12277F92"/>
    <w:rsid w:val="13A65666"/>
    <w:rsid w:val="13DA163B"/>
    <w:rsid w:val="15FF21F8"/>
    <w:rsid w:val="16092586"/>
    <w:rsid w:val="16BD6542"/>
    <w:rsid w:val="16E67311"/>
    <w:rsid w:val="17D11E56"/>
    <w:rsid w:val="17E8361B"/>
    <w:rsid w:val="19137A09"/>
    <w:rsid w:val="193276A1"/>
    <w:rsid w:val="1C9303C8"/>
    <w:rsid w:val="1D083E33"/>
    <w:rsid w:val="1D146788"/>
    <w:rsid w:val="1D540363"/>
    <w:rsid w:val="1F602ABC"/>
    <w:rsid w:val="1FD915C0"/>
    <w:rsid w:val="202D07A9"/>
    <w:rsid w:val="209F1A90"/>
    <w:rsid w:val="21AF41E0"/>
    <w:rsid w:val="241F6850"/>
    <w:rsid w:val="248328C3"/>
    <w:rsid w:val="25A379B8"/>
    <w:rsid w:val="25B57005"/>
    <w:rsid w:val="26936AAE"/>
    <w:rsid w:val="2753673B"/>
    <w:rsid w:val="278C6F0B"/>
    <w:rsid w:val="27D1446D"/>
    <w:rsid w:val="29E3666C"/>
    <w:rsid w:val="2A0E4E88"/>
    <w:rsid w:val="2BB42F0B"/>
    <w:rsid w:val="2C9B5DD4"/>
    <w:rsid w:val="2D515FB1"/>
    <w:rsid w:val="2DC02739"/>
    <w:rsid w:val="2FF15D05"/>
    <w:rsid w:val="315E008C"/>
    <w:rsid w:val="36494E9E"/>
    <w:rsid w:val="37202590"/>
    <w:rsid w:val="372B79B1"/>
    <w:rsid w:val="382F43BA"/>
    <w:rsid w:val="39CD1A7F"/>
    <w:rsid w:val="3C280CB9"/>
    <w:rsid w:val="3C3F1950"/>
    <w:rsid w:val="3C70282E"/>
    <w:rsid w:val="3D3B444C"/>
    <w:rsid w:val="3E0F11FC"/>
    <w:rsid w:val="3E7C2E2B"/>
    <w:rsid w:val="3ECB1371"/>
    <w:rsid w:val="40D14AB1"/>
    <w:rsid w:val="40FB6517"/>
    <w:rsid w:val="41E30128"/>
    <w:rsid w:val="42516543"/>
    <w:rsid w:val="42B512AE"/>
    <w:rsid w:val="439D1B63"/>
    <w:rsid w:val="43A061ED"/>
    <w:rsid w:val="446F43DA"/>
    <w:rsid w:val="44A56EBA"/>
    <w:rsid w:val="452D5808"/>
    <w:rsid w:val="46F61D36"/>
    <w:rsid w:val="4A3F2952"/>
    <w:rsid w:val="4BF057AC"/>
    <w:rsid w:val="4C2234AB"/>
    <w:rsid w:val="4C481A36"/>
    <w:rsid w:val="4D1461BC"/>
    <w:rsid w:val="4DA225C0"/>
    <w:rsid w:val="4EB151DB"/>
    <w:rsid w:val="4F65455E"/>
    <w:rsid w:val="523D1F2B"/>
    <w:rsid w:val="55DA2D47"/>
    <w:rsid w:val="568D540F"/>
    <w:rsid w:val="57AE0B20"/>
    <w:rsid w:val="57C56868"/>
    <w:rsid w:val="57E711A1"/>
    <w:rsid w:val="59A37C92"/>
    <w:rsid w:val="59B049BD"/>
    <w:rsid w:val="5A121345"/>
    <w:rsid w:val="5A2259FD"/>
    <w:rsid w:val="5B1A2762"/>
    <w:rsid w:val="5C55484D"/>
    <w:rsid w:val="5E1677F3"/>
    <w:rsid w:val="5E372983"/>
    <w:rsid w:val="61C407C4"/>
    <w:rsid w:val="63423B5E"/>
    <w:rsid w:val="6448029A"/>
    <w:rsid w:val="64965D5E"/>
    <w:rsid w:val="651D3994"/>
    <w:rsid w:val="667F003C"/>
    <w:rsid w:val="67513064"/>
    <w:rsid w:val="69294DDE"/>
    <w:rsid w:val="6BB407F3"/>
    <w:rsid w:val="6CC730F8"/>
    <w:rsid w:val="6CF66EB4"/>
    <w:rsid w:val="6EFF5950"/>
    <w:rsid w:val="70645ED8"/>
    <w:rsid w:val="70DD570C"/>
    <w:rsid w:val="710549D3"/>
    <w:rsid w:val="71480647"/>
    <w:rsid w:val="71A47423"/>
    <w:rsid w:val="71ED4070"/>
    <w:rsid w:val="722261C5"/>
    <w:rsid w:val="734A661E"/>
    <w:rsid w:val="74E80DD8"/>
    <w:rsid w:val="77212F1B"/>
    <w:rsid w:val="77880656"/>
    <w:rsid w:val="779156F7"/>
    <w:rsid w:val="780E53F3"/>
    <w:rsid w:val="79D10A9E"/>
    <w:rsid w:val="7BDD2298"/>
    <w:rsid w:val="7C3E1984"/>
    <w:rsid w:val="7CAD52D8"/>
    <w:rsid w:val="7D9601A4"/>
    <w:rsid w:val="7DCC299B"/>
    <w:rsid w:val="7E9C6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5" w:lineRule="auto"/>
      <w:ind w:firstLine="200"/>
      <w:jc w:val="left"/>
      <w:outlineLvl w:val="1"/>
    </w:pPr>
    <w:rPr>
      <w:rFonts w:ascii="Cambria" w:hAnsi="Cambria"/>
      <w:b/>
      <w:bCs/>
      <w:kern w:val="0"/>
      <w:sz w:val="30"/>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22"/>
    <w:qFormat/>
    <w:uiPriority w:val="0"/>
    <w:pPr>
      <w:tabs>
        <w:tab w:val="center" w:pos="4153"/>
        <w:tab w:val="right" w:pos="8306"/>
      </w:tabs>
      <w:snapToGrid w:val="0"/>
      <w:jc w:val="left"/>
    </w:pPr>
    <w:rPr>
      <w:sz w:val="18"/>
      <w:szCs w:val="18"/>
    </w:rPr>
  </w:style>
  <w:style w:type="paragraph" w:styleId="4">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spacing w:before="120" w:after="120"/>
      <w:jc w:val="left"/>
    </w:pPr>
    <w:rPr>
      <w:rFonts w:cs="Calibri"/>
      <w:b/>
      <w:bCs/>
      <w:caps/>
      <w:sz w:val="20"/>
      <w:szCs w:val="20"/>
    </w:rPr>
  </w:style>
  <w:style w:type="paragraph" w:styleId="6">
    <w:name w:val="footnote text"/>
    <w:basedOn w:val="1"/>
    <w:qFormat/>
    <w:uiPriority w:val="0"/>
    <w:pPr>
      <w:snapToGrid w:val="0"/>
      <w:jc w:val="left"/>
    </w:pPr>
    <w:rPr>
      <w:sz w:val="18"/>
      <w:szCs w:val="18"/>
    </w:rPr>
  </w:style>
  <w:style w:type="character" w:customStyle="1" w:styleId="9">
    <w:name w:val="Body text|1_"/>
    <w:link w:val="10"/>
    <w:qFormat/>
    <w:uiPriority w:val="0"/>
    <w:rPr>
      <w:rFonts w:ascii="宋体" w:hAnsi="宋体" w:cs="宋体"/>
      <w:kern w:val="2"/>
      <w:sz w:val="30"/>
      <w:szCs w:val="30"/>
      <w:lang w:val="zh-TW" w:eastAsia="zh-TW" w:bidi="zh-TW"/>
    </w:rPr>
  </w:style>
  <w:style w:type="paragraph" w:customStyle="1" w:styleId="10">
    <w:name w:val="Body text|1"/>
    <w:basedOn w:val="1"/>
    <w:link w:val="9"/>
    <w:qFormat/>
    <w:uiPriority w:val="0"/>
    <w:pPr>
      <w:spacing w:line="420" w:lineRule="auto"/>
      <w:ind w:firstLine="400"/>
    </w:pPr>
    <w:rPr>
      <w:rFonts w:ascii="宋体" w:hAnsi="宋体" w:cs="宋体"/>
      <w:sz w:val="30"/>
      <w:szCs w:val="30"/>
      <w:lang w:val="zh-TW" w:eastAsia="zh-TW" w:bidi="zh-TW"/>
    </w:rPr>
  </w:style>
  <w:style w:type="character" w:customStyle="1" w:styleId="11">
    <w:name w:val="Header or footer|1_"/>
    <w:link w:val="12"/>
    <w:qFormat/>
    <w:uiPriority w:val="0"/>
    <w:rPr>
      <w:kern w:val="2"/>
      <w:sz w:val="17"/>
      <w:szCs w:val="17"/>
    </w:rPr>
  </w:style>
  <w:style w:type="paragraph" w:customStyle="1" w:styleId="12">
    <w:name w:val="Header or footer|1"/>
    <w:basedOn w:val="1"/>
    <w:link w:val="11"/>
    <w:qFormat/>
    <w:uiPriority w:val="0"/>
    <w:rPr>
      <w:sz w:val="17"/>
      <w:szCs w:val="17"/>
    </w:rPr>
  </w:style>
  <w:style w:type="character" w:customStyle="1" w:styleId="13">
    <w:name w:val="Body text|4_"/>
    <w:link w:val="14"/>
    <w:qFormat/>
    <w:uiPriority w:val="0"/>
    <w:rPr>
      <w:sz w:val="30"/>
      <w:szCs w:val="30"/>
      <w:u w:val="none"/>
      <w:shd w:val="clear" w:color="auto" w:fill="auto"/>
      <w:lang w:val="zh-TW" w:eastAsia="zh-TW" w:bidi="zh-TW"/>
    </w:rPr>
  </w:style>
  <w:style w:type="paragraph" w:customStyle="1" w:styleId="14">
    <w:name w:val="Body text|4"/>
    <w:basedOn w:val="1"/>
    <w:link w:val="13"/>
    <w:qFormat/>
    <w:uiPriority w:val="0"/>
    <w:pPr>
      <w:spacing w:line="600" w:lineRule="exact"/>
      <w:ind w:firstLine="360"/>
    </w:pPr>
    <w:rPr>
      <w:kern w:val="0"/>
      <w:sz w:val="30"/>
      <w:szCs w:val="30"/>
      <w:lang w:val="zh-TW" w:eastAsia="zh-TW" w:bidi="zh-TW"/>
    </w:rPr>
  </w:style>
  <w:style w:type="paragraph" w:customStyle="1" w:styleId="15">
    <w:name w:val="闻政-正文段落文字"/>
    <w:basedOn w:val="1"/>
    <w:qFormat/>
    <w:uiPriority w:val="3"/>
    <w:pPr>
      <w:spacing w:line="500" w:lineRule="exact"/>
      <w:ind w:firstLine="200"/>
    </w:pPr>
    <w:rPr>
      <w:rFonts w:ascii="Times New Roman" w:hAnsi="Times New Roman"/>
      <w:kern w:val="0"/>
      <w:szCs w:val="28"/>
    </w:rPr>
  </w:style>
  <w:style w:type="paragraph" w:customStyle="1" w:styleId="16">
    <w:name w:val="Header or footer|2"/>
    <w:basedOn w:val="1"/>
    <w:qFormat/>
    <w:uiPriority w:val="0"/>
    <w:rPr>
      <w:sz w:val="20"/>
      <w:szCs w:val="20"/>
    </w:rPr>
  </w:style>
  <w:style w:type="paragraph" w:customStyle="1" w:styleId="17">
    <w:name w:val="Table caption|1"/>
    <w:basedOn w:val="1"/>
    <w:qFormat/>
    <w:uiPriority w:val="0"/>
    <w:rPr>
      <w:rFonts w:ascii="宋体" w:hAnsi="宋体" w:cs="宋体"/>
      <w:sz w:val="32"/>
      <w:szCs w:val="32"/>
      <w:lang w:val="zh-TW" w:eastAsia="zh-TW" w:bidi="zh-TW"/>
    </w:rPr>
  </w:style>
  <w:style w:type="paragraph" w:customStyle="1" w:styleId="18">
    <w:name w:val="闻政正文"/>
    <w:basedOn w:val="1"/>
    <w:qFormat/>
    <w:uiPriority w:val="99"/>
    <w:pPr>
      <w:spacing w:line="500" w:lineRule="exact"/>
      <w:ind w:firstLine="883" w:firstLineChars="200"/>
    </w:pPr>
    <w:rPr>
      <w:rFonts w:ascii="Times New Roman" w:hAnsi="Times New Roman" w:eastAsia="仿宋_GB2312"/>
      <w:kern w:val="0"/>
      <w:sz w:val="28"/>
      <w:szCs w:val="28"/>
    </w:rPr>
  </w:style>
  <w:style w:type="paragraph" w:customStyle="1" w:styleId="19">
    <w:name w:val="Other|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三级标题"/>
    <w:basedOn w:val="1"/>
    <w:next w:val="15"/>
    <w:qFormat/>
    <w:uiPriority w:val="3"/>
    <w:pPr>
      <w:widowControl/>
      <w:spacing w:before="120" w:after="60" w:line="500" w:lineRule="exact"/>
      <w:ind w:left="200" w:leftChars="200"/>
    </w:pPr>
    <w:rPr>
      <w:rFonts w:ascii="Times New Roman" w:hAnsi="Times New Roman"/>
      <w:b/>
      <w:snapToGrid w:val="0"/>
      <w:kern w:val="0"/>
      <w:szCs w:val="28"/>
    </w:rPr>
  </w:style>
  <w:style w:type="character" w:customStyle="1" w:styleId="21">
    <w:name w:val="页眉 Char"/>
    <w:basedOn w:val="8"/>
    <w:link w:val="4"/>
    <w:qFormat/>
    <w:uiPriority w:val="0"/>
    <w:rPr>
      <w:kern w:val="2"/>
      <w:sz w:val="18"/>
      <w:szCs w:val="18"/>
    </w:rPr>
  </w:style>
  <w:style w:type="character" w:customStyle="1" w:styleId="22">
    <w:name w:val="页脚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9D3524-825F-46FB-963C-325206B8C04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1161</Words>
  <Characters>6619</Characters>
  <Lines>55</Lines>
  <Paragraphs>15</Paragraphs>
  <TotalTime>3</TotalTime>
  <ScaleCrop>false</ScaleCrop>
  <LinksUpToDate>false</LinksUpToDate>
  <CharactersWithSpaces>7765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2020-05-19T08:29:00Z</dcterms:created>
  <dc:creator>chenliangpingcz</dc:creator>
  <cp:lastModifiedBy>吴韬</cp:lastModifiedBy>
  <dcterms:modified xsi:type="dcterms:W3CDTF">2021-04-13T11:38:57Z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CDB5FEE13C60429FBD95AD4B3C555619</vt:lpwstr>
  </property>
</Properties>
</file>